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DD0" w:rsidRDefault="000B4DD0" w:rsidP="000B4DD0">
      <w:pPr>
        <w:pStyle w:val="western"/>
        <w:spacing w:after="0" w:afterAutospacing="0"/>
        <w:jc w:val="right"/>
        <w:rPr>
          <w:rFonts w:ascii="Acumin Pro" w:hAnsi="Acumin Pro"/>
          <w:sz w:val="20"/>
          <w:szCs w:val="20"/>
        </w:rPr>
      </w:pPr>
      <w:r w:rsidRPr="000B4DD0">
        <w:rPr>
          <w:rFonts w:ascii="Acumin Pro" w:hAnsi="Acumin Pro"/>
          <w:sz w:val="20"/>
          <w:szCs w:val="20"/>
        </w:rPr>
        <w:t>P</w:t>
      </w:r>
      <w:r>
        <w:rPr>
          <w:rFonts w:ascii="Acumin Pro" w:hAnsi="Acumin Pro"/>
          <w:sz w:val="20"/>
          <w:szCs w:val="20"/>
        </w:rPr>
        <w:t xml:space="preserve">oznań, </w:t>
      </w:r>
      <w:r w:rsidR="00A2698E">
        <w:rPr>
          <w:rFonts w:ascii="Acumin Pro" w:hAnsi="Acumin Pro"/>
          <w:sz w:val="20"/>
          <w:szCs w:val="20"/>
        </w:rPr>
        <w:t>15</w:t>
      </w:r>
      <w:r>
        <w:rPr>
          <w:rFonts w:ascii="Acumin Pro" w:hAnsi="Acumin Pro"/>
          <w:sz w:val="20"/>
          <w:szCs w:val="20"/>
        </w:rPr>
        <w:t>.0</w:t>
      </w:r>
      <w:r w:rsidR="00D81720">
        <w:rPr>
          <w:rFonts w:ascii="Acumin Pro" w:hAnsi="Acumin Pro"/>
          <w:sz w:val="20"/>
          <w:szCs w:val="20"/>
        </w:rPr>
        <w:t>3</w:t>
      </w:r>
      <w:r>
        <w:rPr>
          <w:rFonts w:ascii="Acumin Pro" w:hAnsi="Acumin Pro"/>
          <w:sz w:val="20"/>
          <w:szCs w:val="20"/>
        </w:rPr>
        <w:t>.202</w:t>
      </w:r>
      <w:r w:rsidR="00AA6858">
        <w:rPr>
          <w:rFonts w:ascii="Acumin Pro" w:hAnsi="Acumin Pro"/>
          <w:sz w:val="20"/>
          <w:szCs w:val="20"/>
        </w:rPr>
        <w:t>2</w:t>
      </w:r>
      <w:r>
        <w:rPr>
          <w:rFonts w:ascii="Acumin Pro" w:hAnsi="Acumin Pro"/>
          <w:sz w:val="20"/>
          <w:szCs w:val="20"/>
        </w:rPr>
        <w:t xml:space="preserve"> r. </w:t>
      </w:r>
    </w:p>
    <w:p w:rsidR="000B4DD0" w:rsidRDefault="000B4DD0" w:rsidP="000B4DD0">
      <w:pPr>
        <w:pStyle w:val="western"/>
        <w:spacing w:after="0" w:afterAutospacing="0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AZ.281.</w:t>
      </w:r>
      <w:r w:rsidR="00CC31C5">
        <w:rPr>
          <w:rFonts w:ascii="Acumin Pro" w:hAnsi="Acumin Pro"/>
          <w:sz w:val="20"/>
          <w:szCs w:val="20"/>
        </w:rPr>
        <w:t>2</w:t>
      </w:r>
      <w:r>
        <w:rPr>
          <w:rFonts w:ascii="Acumin Pro" w:hAnsi="Acumin Pro"/>
          <w:sz w:val="20"/>
          <w:szCs w:val="20"/>
        </w:rPr>
        <w:t>.</w:t>
      </w:r>
      <w:r w:rsidR="00B3530D">
        <w:rPr>
          <w:rFonts w:ascii="Acumin Pro" w:hAnsi="Acumin Pro"/>
          <w:sz w:val="20"/>
          <w:szCs w:val="20"/>
        </w:rPr>
        <w:t>4</w:t>
      </w:r>
      <w:r w:rsidR="00AA6858">
        <w:rPr>
          <w:rFonts w:ascii="Acumin Pro" w:hAnsi="Acumin Pro"/>
          <w:sz w:val="20"/>
          <w:szCs w:val="20"/>
        </w:rPr>
        <w:t>.</w:t>
      </w:r>
      <w:r>
        <w:rPr>
          <w:rFonts w:ascii="Acumin Pro" w:hAnsi="Acumin Pro"/>
          <w:sz w:val="20"/>
          <w:szCs w:val="20"/>
        </w:rPr>
        <w:t>202</w:t>
      </w:r>
      <w:r w:rsidR="00AA6858">
        <w:rPr>
          <w:rFonts w:ascii="Acumin Pro" w:hAnsi="Acumin Pro"/>
          <w:sz w:val="20"/>
          <w:szCs w:val="20"/>
        </w:rPr>
        <w:t>2</w:t>
      </w:r>
    </w:p>
    <w:p w:rsidR="000B4DD0" w:rsidRDefault="000B4DD0" w:rsidP="004012C9">
      <w:pPr>
        <w:pStyle w:val="western"/>
        <w:spacing w:after="0" w:afterAutospacing="0"/>
        <w:rPr>
          <w:rFonts w:ascii="Acumin Pro" w:hAnsi="Acumin Pro"/>
          <w:sz w:val="20"/>
          <w:szCs w:val="20"/>
        </w:rPr>
      </w:pPr>
    </w:p>
    <w:p w:rsidR="000B4DD0" w:rsidRDefault="000B4DD0" w:rsidP="00D70035">
      <w:pPr>
        <w:ind w:left="426" w:hanging="426"/>
        <w:jc w:val="both"/>
        <w:rPr>
          <w:rFonts w:ascii="Acumin Pro" w:hAnsi="Acumin Pro"/>
          <w:sz w:val="20"/>
          <w:szCs w:val="20"/>
          <w:lang w:val="pl-PL"/>
        </w:rPr>
      </w:pPr>
      <w:r w:rsidRPr="000B4DD0">
        <w:rPr>
          <w:rFonts w:ascii="Acumin Pro" w:hAnsi="Acumin Pro"/>
          <w:sz w:val="20"/>
          <w:szCs w:val="20"/>
          <w:lang w:val="pl-PL"/>
        </w:rPr>
        <w:t xml:space="preserve">dot. </w:t>
      </w:r>
      <w:r w:rsidR="004012C9">
        <w:rPr>
          <w:rFonts w:ascii="Acumin Pro" w:hAnsi="Acumin Pro"/>
          <w:sz w:val="20"/>
          <w:szCs w:val="20"/>
          <w:lang w:val="pl-PL"/>
        </w:rPr>
        <w:t xml:space="preserve">postępowania przetargowego </w:t>
      </w:r>
      <w:r w:rsidR="00684E42">
        <w:rPr>
          <w:rFonts w:ascii="Acumin Pro" w:hAnsi="Acumin Pro"/>
          <w:sz w:val="20"/>
          <w:szCs w:val="20"/>
          <w:lang w:val="pl-PL"/>
        </w:rPr>
        <w:t xml:space="preserve">pn. </w:t>
      </w:r>
      <w:r w:rsidR="004928BF" w:rsidRPr="00823331">
        <w:rPr>
          <w:rFonts w:ascii="Acumin Pro" w:hAnsi="Acumin Pro"/>
          <w:b/>
          <w:bCs/>
          <w:sz w:val="20"/>
          <w:szCs w:val="20"/>
          <w:lang w:val="pl-PL"/>
        </w:rPr>
        <w:t>Wykonanie usługi sprzątania pomieszczeń muzealnych. Zapewnienie porządku i czystości na zewnątrz Muzeum Narodowego w Poznaniu i jego oddziałów.</w:t>
      </w:r>
    </w:p>
    <w:p w:rsidR="000B4DD0" w:rsidRDefault="000B4DD0" w:rsidP="000B4DD0">
      <w:pPr>
        <w:rPr>
          <w:rFonts w:ascii="Acumin Pro" w:hAnsi="Acumin Pro"/>
          <w:sz w:val="20"/>
          <w:szCs w:val="20"/>
          <w:lang w:val="pl-PL"/>
        </w:rPr>
      </w:pPr>
    </w:p>
    <w:p w:rsidR="000B4DD0" w:rsidRPr="000B4DD0" w:rsidRDefault="000B4DD0" w:rsidP="000B4DD0">
      <w:pPr>
        <w:pStyle w:val="western"/>
        <w:spacing w:after="0" w:afterAutospacing="0"/>
        <w:jc w:val="center"/>
        <w:rPr>
          <w:rFonts w:ascii="Acumin Pro" w:hAnsi="Acumin Pro"/>
          <w:b/>
          <w:sz w:val="28"/>
          <w:szCs w:val="28"/>
        </w:rPr>
      </w:pPr>
      <w:r w:rsidRPr="000B4DD0">
        <w:rPr>
          <w:rFonts w:ascii="Acumin Pro" w:hAnsi="Acumin Pro"/>
          <w:b/>
          <w:sz w:val="28"/>
          <w:szCs w:val="28"/>
        </w:rPr>
        <w:t>PYTANIA I ODPOWIEDZI DO SWZ</w:t>
      </w:r>
    </w:p>
    <w:p w:rsidR="000B4DD0" w:rsidRDefault="000B4DD0" w:rsidP="000B4DD0">
      <w:pPr>
        <w:pStyle w:val="western"/>
        <w:spacing w:after="0" w:afterAutospacing="0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W oparciu o art. 284 ust. 2 ustawy z dnia 11 września 2019 r. (Dz.U z 20</w:t>
      </w:r>
      <w:r w:rsidR="00B3530D">
        <w:rPr>
          <w:rFonts w:ascii="Acumin Pro" w:hAnsi="Acumin Pro"/>
          <w:sz w:val="20"/>
          <w:szCs w:val="20"/>
        </w:rPr>
        <w:t>21</w:t>
      </w:r>
      <w:r>
        <w:rPr>
          <w:rFonts w:ascii="Acumin Pro" w:hAnsi="Acumin Pro"/>
          <w:sz w:val="20"/>
          <w:szCs w:val="20"/>
        </w:rPr>
        <w:t xml:space="preserve"> r. poz. </w:t>
      </w:r>
      <w:r w:rsidR="00B3530D">
        <w:rPr>
          <w:rFonts w:ascii="Acumin Pro" w:hAnsi="Acumin Pro"/>
          <w:sz w:val="20"/>
          <w:szCs w:val="20"/>
        </w:rPr>
        <w:t>1129</w:t>
      </w:r>
      <w:r>
        <w:rPr>
          <w:rFonts w:ascii="Acumin Pro" w:hAnsi="Acumin Pro"/>
          <w:sz w:val="20"/>
          <w:szCs w:val="20"/>
        </w:rPr>
        <w:t>), Zamawiający udziela odpowiedzi na pytania:</w:t>
      </w:r>
    </w:p>
    <w:p w:rsidR="00A029BC" w:rsidRPr="00A029BC" w:rsidRDefault="00A029BC" w:rsidP="00A2698E">
      <w:pPr>
        <w:pStyle w:val="western"/>
        <w:numPr>
          <w:ilvl w:val="0"/>
          <w:numId w:val="21"/>
        </w:numPr>
        <w:jc w:val="both"/>
        <w:rPr>
          <w:rFonts w:ascii="Acumin Pro" w:hAnsi="Acumin Pro"/>
          <w:sz w:val="20"/>
          <w:szCs w:val="20"/>
        </w:rPr>
      </w:pPr>
      <w:r w:rsidRPr="00A029BC">
        <w:rPr>
          <w:rFonts w:ascii="Acumin Pro" w:hAnsi="Acumin Pro"/>
          <w:sz w:val="20"/>
          <w:szCs w:val="20"/>
        </w:rPr>
        <w:t>W związku z zamiarem przystąpienia naszej firmy do w/w postępowania prosimy o udzielenie</w:t>
      </w:r>
      <w:r>
        <w:rPr>
          <w:rFonts w:ascii="Acumin Pro" w:hAnsi="Acumin Pro"/>
          <w:sz w:val="20"/>
          <w:szCs w:val="20"/>
        </w:rPr>
        <w:t xml:space="preserve"> </w:t>
      </w:r>
      <w:r w:rsidRPr="00A029BC">
        <w:rPr>
          <w:rFonts w:ascii="Acumin Pro" w:hAnsi="Acumin Pro"/>
          <w:sz w:val="20"/>
          <w:szCs w:val="20"/>
        </w:rPr>
        <w:t>odpowiedzi na poniższe pytania:</w:t>
      </w:r>
    </w:p>
    <w:p w:rsidR="00A029BC" w:rsidRDefault="00A029BC" w:rsidP="00A2698E">
      <w:pPr>
        <w:pStyle w:val="western"/>
        <w:jc w:val="both"/>
        <w:rPr>
          <w:rFonts w:ascii="Acumin Pro" w:hAnsi="Acumin Pro"/>
          <w:sz w:val="20"/>
          <w:szCs w:val="20"/>
        </w:rPr>
      </w:pPr>
      <w:r w:rsidRPr="00A029BC">
        <w:rPr>
          <w:rFonts w:ascii="Acumin Pro" w:hAnsi="Acumin Pro"/>
          <w:sz w:val="20"/>
          <w:szCs w:val="20"/>
        </w:rPr>
        <w:t>Prosimy o informację (dotyczy części 1) czy podłogi drewniane/parkiet, które występują u Zamawiającego są zabezpieczone środkiem konserwującym czy są wykonane z surowego drewna? Jeżeli tak prosimy o informację jaki środek zabezpieczający został zastosowany</w:t>
      </w:r>
      <w:r>
        <w:rPr>
          <w:rFonts w:ascii="Acumin Pro" w:hAnsi="Acumin Pro"/>
          <w:sz w:val="20"/>
          <w:szCs w:val="20"/>
        </w:rPr>
        <w:t xml:space="preserve"> </w:t>
      </w:r>
      <w:r w:rsidRPr="00A029BC">
        <w:rPr>
          <w:rFonts w:ascii="Acumin Pro" w:hAnsi="Acumin Pro"/>
          <w:sz w:val="20"/>
          <w:szCs w:val="20"/>
        </w:rPr>
        <w:t>(olej czy lakier)?</w:t>
      </w:r>
    </w:p>
    <w:p w:rsidR="005F50FF" w:rsidRDefault="0040739C" w:rsidP="00433261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8387B">
        <w:rPr>
          <w:rFonts w:ascii="Acumin Pro" w:hAnsi="Acumin Pro"/>
          <w:b/>
          <w:sz w:val="20"/>
          <w:szCs w:val="20"/>
        </w:rPr>
        <w:t>Odpowiedź</w:t>
      </w:r>
      <w:r w:rsidR="00684E42">
        <w:rPr>
          <w:rFonts w:ascii="Acumin Pro" w:hAnsi="Acumin Pro"/>
          <w:b/>
          <w:sz w:val="20"/>
          <w:szCs w:val="20"/>
        </w:rPr>
        <w:t>:</w:t>
      </w:r>
    </w:p>
    <w:p w:rsidR="00433261" w:rsidRDefault="00433261" w:rsidP="00433261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Podłogi drewniane pokryte lakierem bezbarwnym</w:t>
      </w:r>
      <w:r w:rsidR="00684E42">
        <w:rPr>
          <w:rFonts w:ascii="Acumin Pro" w:hAnsi="Acumin Pro"/>
          <w:b/>
          <w:sz w:val="20"/>
          <w:szCs w:val="20"/>
        </w:rPr>
        <w:t>.</w:t>
      </w:r>
    </w:p>
    <w:p w:rsidR="00433261" w:rsidRPr="0088387B" w:rsidRDefault="00433261" w:rsidP="00433261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D03D86" w:rsidRDefault="00A029BC" w:rsidP="00684E42">
      <w:pPr>
        <w:pStyle w:val="western"/>
        <w:numPr>
          <w:ilvl w:val="0"/>
          <w:numId w:val="21"/>
        </w:numPr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  <w:r w:rsidRPr="00D03D86">
        <w:rPr>
          <w:rFonts w:ascii="Acumin Pro" w:hAnsi="Acumin Pro"/>
          <w:sz w:val="20"/>
          <w:szCs w:val="20"/>
        </w:rPr>
        <w:t>Zamawiający wymaga, aby środki czystości, posiadały atesty PIHP. Prosimy o wyjaśnienie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jakie atesty pod tym skrótem rozumie Zamawiający? Informujemy, iż z dniem 01.01.2003r.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ustała prawnie obowiązująca konieczność uzyskiwania. atestów PZH ( atesty Państwowego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Zakładu Higieny), w związku z tym prosimy o zrezygnowanie z tego wymogu. Podstawą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prawną jest ustawa z dnia 30 sierpnia 2002 r. o systemie oceny zgodności z późniejszymi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zmianami (tekst jednolity Dz. U. z 2017 r. poz. 1226), znosząca rozporządzenie Prezydenta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Rzeczpospolitej z dnia 22.03.1928, które było podstawą prawną procedury rejestracji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przedmiotów użytku w PZH.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Jednocześnie pragniemy zaznaczyć, że na dzień dzisiejszy dokumentami dopuszczającymi,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w zależności od rodzaju środka, są: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</w:p>
    <w:p w:rsidR="00D03D86" w:rsidRPr="00D03D86" w:rsidRDefault="00A029BC" w:rsidP="00426A9C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sz w:val="20"/>
          <w:szCs w:val="20"/>
        </w:rPr>
      </w:pPr>
      <w:r w:rsidRPr="00D03D86">
        <w:rPr>
          <w:rFonts w:ascii="Acumin Pro" w:hAnsi="Acumin Pro"/>
          <w:sz w:val="20"/>
          <w:szCs w:val="20"/>
        </w:rPr>
        <w:t>a) dla środków myjących, czyszczących, konserwujących posiadających w swym składzie</w:t>
      </w:r>
      <w:r w:rsidR="001270DA" w:rsidRPr="00D03D86">
        <w:rPr>
          <w:rFonts w:ascii="Acumin Pro" w:hAnsi="Acumin Pro"/>
          <w:sz w:val="20"/>
          <w:szCs w:val="20"/>
        </w:rPr>
        <w:t xml:space="preserve"> </w:t>
      </w:r>
      <w:r w:rsidRPr="00D03D86">
        <w:rPr>
          <w:rFonts w:ascii="Acumin Pro" w:hAnsi="Acumin Pro"/>
          <w:sz w:val="20"/>
          <w:szCs w:val="20"/>
        </w:rPr>
        <w:t>substancje niebezpieczne- karty charakterystyki,</w:t>
      </w:r>
      <w:r w:rsidR="00D03D86" w:rsidRPr="00D03D86">
        <w:rPr>
          <w:rFonts w:ascii="Acumin Pro" w:hAnsi="Acumin Pro"/>
          <w:sz w:val="20"/>
          <w:szCs w:val="20"/>
        </w:rPr>
        <w:t xml:space="preserve"> </w:t>
      </w:r>
    </w:p>
    <w:p w:rsidR="00783CA6" w:rsidRDefault="00A029BC" w:rsidP="00426A9C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sz w:val="20"/>
          <w:szCs w:val="20"/>
        </w:rPr>
      </w:pPr>
      <w:r w:rsidRPr="00D03D86">
        <w:rPr>
          <w:rFonts w:ascii="Acumin Pro" w:hAnsi="Acumin Pro"/>
          <w:sz w:val="20"/>
          <w:szCs w:val="20"/>
        </w:rPr>
        <w:t>b) dla preparatów dezynfekcyjnych będących wyrobami medycznymi -deklaracje zgodności</w:t>
      </w:r>
      <w:r w:rsidR="00D03D86">
        <w:rPr>
          <w:rFonts w:ascii="Acumin Pro" w:hAnsi="Acumin Pro"/>
          <w:sz w:val="20"/>
          <w:szCs w:val="20"/>
        </w:rPr>
        <w:t xml:space="preserve"> </w:t>
      </w:r>
      <w:r w:rsidRPr="00A029BC">
        <w:rPr>
          <w:rFonts w:ascii="Acumin Pro" w:hAnsi="Acumin Pro"/>
          <w:sz w:val="20"/>
          <w:szCs w:val="20"/>
        </w:rPr>
        <w:t>i certyfikat CE,</w:t>
      </w:r>
    </w:p>
    <w:p w:rsidR="005F50FF" w:rsidRPr="00823331" w:rsidRDefault="005F50FF" w:rsidP="00426A9C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sz w:val="20"/>
          <w:szCs w:val="20"/>
        </w:rPr>
      </w:pPr>
      <w:r w:rsidRPr="00823331">
        <w:rPr>
          <w:rFonts w:ascii="Acumin Pro" w:hAnsi="Acumin Pro"/>
          <w:sz w:val="20"/>
          <w:szCs w:val="20"/>
        </w:rPr>
        <w:t>c) dla preparatów dezynfekcyjnych będących produktami biobójczymi – pozwolenie obrót produktami biobójczymi</w:t>
      </w:r>
    </w:p>
    <w:p w:rsidR="005F50FF" w:rsidRPr="00823331" w:rsidRDefault="005F50FF" w:rsidP="00426A9C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sz w:val="20"/>
          <w:szCs w:val="20"/>
        </w:rPr>
      </w:pPr>
      <w:r w:rsidRPr="00823331">
        <w:rPr>
          <w:rFonts w:ascii="Acumin Pro" w:hAnsi="Acumin Pro"/>
          <w:sz w:val="20"/>
          <w:szCs w:val="20"/>
        </w:rPr>
        <w:t>d) dla preparatów dezynfekcyjnych będących produktami leczniczymi - pozwolenie na</w:t>
      </w:r>
      <w:r w:rsidR="00426A9C" w:rsidRPr="00823331">
        <w:rPr>
          <w:rFonts w:ascii="Acumin Pro" w:hAnsi="Acumin Pro"/>
          <w:sz w:val="20"/>
          <w:szCs w:val="20"/>
        </w:rPr>
        <w:t xml:space="preserve"> </w:t>
      </w:r>
      <w:r w:rsidRPr="00823331">
        <w:rPr>
          <w:rFonts w:ascii="Acumin Pro" w:hAnsi="Acumin Pro"/>
          <w:sz w:val="20"/>
          <w:szCs w:val="20"/>
        </w:rPr>
        <w:t>dopuszczenie do obrotu produktu leczniczego</w:t>
      </w:r>
    </w:p>
    <w:p w:rsidR="005F50FF" w:rsidRPr="00823331" w:rsidRDefault="005F50FF" w:rsidP="00426A9C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sz w:val="20"/>
          <w:szCs w:val="20"/>
        </w:rPr>
      </w:pPr>
      <w:r w:rsidRPr="00823331">
        <w:rPr>
          <w:rFonts w:ascii="Acumin Pro" w:hAnsi="Acumin Pro"/>
          <w:sz w:val="20"/>
          <w:szCs w:val="20"/>
        </w:rPr>
        <w:t>e) dla kosmetyków – zgłoszenie do CPNP (internetowy Portal Zgłaszania Produktów</w:t>
      </w:r>
      <w:r w:rsidR="00426A9C" w:rsidRPr="00823331">
        <w:rPr>
          <w:rFonts w:ascii="Acumin Pro" w:hAnsi="Acumin Pro"/>
          <w:sz w:val="20"/>
          <w:szCs w:val="20"/>
        </w:rPr>
        <w:t xml:space="preserve"> </w:t>
      </w:r>
      <w:r w:rsidRPr="00823331">
        <w:rPr>
          <w:rFonts w:ascii="Acumin Pro" w:hAnsi="Acumin Pro"/>
          <w:sz w:val="20"/>
          <w:szCs w:val="20"/>
        </w:rPr>
        <w:t>Kosmetycznych)</w:t>
      </w:r>
    </w:p>
    <w:p w:rsidR="005F50FF" w:rsidRPr="00823331" w:rsidRDefault="005F50FF" w:rsidP="00426A9C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sz w:val="20"/>
          <w:szCs w:val="20"/>
        </w:rPr>
      </w:pPr>
      <w:r w:rsidRPr="00823331">
        <w:rPr>
          <w:rFonts w:ascii="Acumin Pro" w:hAnsi="Acumin Pro"/>
          <w:sz w:val="20"/>
          <w:szCs w:val="20"/>
        </w:rPr>
        <w:t>f) dla materiałów higienicznych (papier toaletowy, ręczniki papierowe, worki na śmieci itp.),</w:t>
      </w:r>
      <w:r w:rsidR="00426A9C" w:rsidRPr="00823331">
        <w:rPr>
          <w:rFonts w:ascii="Acumin Pro" w:hAnsi="Acumin Pro"/>
          <w:sz w:val="20"/>
          <w:szCs w:val="20"/>
        </w:rPr>
        <w:t xml:space="preserve"> </w:t>
      </w:r>
      <w:r w:rsidRPr="00823331">
        <w:rPr>
          <w:rFonts w:ascii="Acumin Pro" w:hAnsi="Acumin Pro"/>
          <w:sz w:val="20"/>
          <w:szCs w:val="20"/>
        </w:rPr>
        <w:t>zgodnie z obowiązującymi przepisami, nie są wymagane dodatkowe atesty, produkty te</w:t>
      </w:r>
      <w:r w:rsidR="00426A9C" w:rsidRPr="00823331">
        <w:rPr>
          <w:rFonts w:ascii="Acumin Pro" w:hAnsi="Acumin Pro"/>
          <w:sz w:val="20"/>
          <w:szCs w:val="20"/>
        </w:rPr>
        <w:t xml:space="preserve"> </w:t>
      </w:r>
      <w:r w:rsidRPr="00823331">
        <w:rPr>
          <w:rFonts w:ascii="Acumin Pro" w:hAnsi="Acumin Pro"/>
          <w:sz w:val="20"/>
          <w:szCs w:val="20"/>
        </w:rPr>
        <w:t>posiadają ulotki/karty informacyjne</w:t>
      </w:r>
    </w:p>
    <w:p w:rsidR="005F50FF" w:rsidRPr="00823331" w:rsidRDefault="005F50FF" w:rsidP="00426A9C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sz w:val="20"/>
          <w:szCs w:val="20"/>
        </w:rPr>
      </w:pPr>
      <w:r w:rsidRPr="00823331">
        <w:rPr>
          <w:rFonts w:ascii="Acumin Pro" w:hAnsi="Acumin Pro"/>
          <w:sz w:val="20"/>
          <w:szCs w:val="20"/>
        </w:rPr>
        <w:t>W związku z powyższym, czy Zamawiający dopuszcza wymienione dokumenty w miejsca atestów?</w:t>
      </w:r>
    </w:p>
    <w:p w:rsidR="0001450E" w:rsidRDefault="0001450E" w:rsidP="007C6C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500D29" w:rsidRPr="00823331" w:rsidRDefault="00500D29" w:rsidP="007C6C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40739C" w:rsidRPr="00823331" w:rsidRDefault="0040739C" w:rsidP="007C6C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23331">
        <w:rPr>
          <w:rFonts w:ascii="Acumin Pro" w:hAnsi="Acumin Pro"/>
          <w:b/>
          <w:sz w:val="20"/>
          <w:szCs w:val="20"/>
        </w:rPr>
        <w:lastRenderedPageBreak/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433261" w:rsidRPr="00433261" w:rsidRDefault="00433261" w:rsidP="007C6CF2">
      <w:pPr>
        <w:pStyle w:val="western"/>
        <w:spacing w:before="0" w:beforeAutospacing="0" w:after="0"/>
        <w:jc w:val="both"/>
        <w:rPr>
          <w:rFonts w:ascii="Acumin Pro" w:hAnsi="Acumin Pro"/>
          <w:b/>
          <w:sz w:val="20"/>
          <w:szCs w:val="20"/>
        </w:rPr>
      </w:pPr>
      <w:r w:rsidRPr="00433261">
        <w:rPr>
          <w:rFonts w:ascii="Acumin Pro" w:hAnsi="Acumin Pro"/>
          <w:b/>
          <w:sz w:val="20"/>
          <w:szCs w:val="20"/>
        </w:rPr>
        <w:t>Zamawiający dopuszcza wymienione dokumenty w miejsce atestów.</w:t>
      </w:r>
    </w:p>
    <w:p w:rsidR="00B73F34" w:rsidRDefault="00426A9C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B73F34">
        <w:rPr>
          <w:rFonts w:ascii="Acumin Pro" w:hAnsi="Acumin Pro"/>
          <w:sz w:val="20"/>
          <w:szCs w:val="20"/>
        </w:rPr>
        <w:t>Prosimy o informację czy Wykonawca zapewnia mydło i materiały higieniczne ( papier</w:t>
      </w:r>
      <w:r w:rsidR="00B73F34" w:rsidRPr="00B73F34">
        <w:rPr>
          <w:rFonts w:ascii="Acumin Pro" w:hAnsi="Acumin Pro"/>
          <w:sz w:val="20"/>
          <w:szCs w:val="20"/>
        </w:rPr>
        <w:t xml:space="preserve"> </w:t>
      </w:r>
      <w:r w:rsidRPr="00B73F34">
        <w:rPr>
          <w:rFonts w:ascii="Acumin Pro" w:hAnsi="Acumin Pro"/>
          <w:sz w:val="20"/>
          <w:szCs w:val="20"/>
        </w:rPr>
        <w:t>toaletowy, ręczniki papierowe)?</w:t>
      </w:r>
    </w:p>
    <w:p w:rsidR="0088387B" w:rsidRDefault="0088387B" w:rsidP="007C6C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8387B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7C6CF2" w:rsidRPr="007C6CF2" w:rsidRDefault="007C6CF2" w:rsidP="007C6C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7C6CF2">
        <w:rPr>
          <w:rFonts w:ascii="Acumin Pro" w:hAnsi="Acumin Pro"/>
          <w:b/>
          <w:sz w:val="20"/>
          <w:szCs w:val="20"/>
        </w:rPr>
        <w:t>Wykonawca zapewnia mydło i środki higieniczne w toaletach publicznych, np. w Gmachu Głównym na poziomie 0 – 2 toalety, 11 kabin (damskie i męskie) poziom 1 – 2 toalety, 10 kabin, w Starym Gmachu – 2 toalety (jedna damska, jedna męska)</w:t>
      </w:r>
      <w:r w:rsidR="00E515A6">
        <w:rPr>
          <w:rFonts w:ascii="Acumin Pro" w:hAnsi="Acumin Pro"/>
          <w:b/>
          <w:sz w:val="20"/>
          <w:szCs w:val="20"/>
        </w:rPr>
        <w:t>.</w:t>
      </w:r>
    </w:p>
    <w:p w:rsidR="00B73F34" w:rsidRDefault="00426A9C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B73F34">
        <w:rPr>
          <w:rFonts w:ascii="Acumin Pro" w:hAnsi="Acumin Pro"/>
          <w:sz w:val="20"/>
          <w:szCs w:val="20"/>
        </w:rPr>
        <w:t>Prosimy o informację (w podziale na części) jakie dozowniki na mydło w płynie–wkłady</w:t>
      </w:r>
      <w:r w:rsidR="00B73F34" w:rsidRPr="00B73F34">
        <w:rPr>
          <w:rFonts w:ascii="Acumin Pro" w:hAnsi="Acumin Pro"/>
          <w:sz w:val="20"/>
          <w:szCs w:val="20"/>
        </w:rPr>
        <w:t xml:space="preserve"> </w:t>
      </w:r>
      <w:r w:rsidRPr="00B73F34">
        <w:rPr>
          <w:rFonts w:ascii="Acumin Pro" w:hAnsi="Acumin Pro"/>
          <w:sz w:val="20"/>
          <w:szCs w:val="20"/>
        </w:rPr>
        <w:t>jednorazowe czy na mydło dolewane posiada Zamawiający? W przypadku wkładów</w:t>
      </w:r>
      <w:r w:rsidR="00B73F34" w:rsidRPr="00B73F34">
        <w:rPr>
          <w:rFonts w:ascii="Acumin Pro" w:hAnsi="Acumin Pro"/>
          <w:sz w:val="20"/>
          <w:szCs w:val="20"/>
        </w:rPr>
        <w:t xml:space="preserve"> </w:t>
      </w:r>
      <w:r w:rsidRPr="00B73F34">
        <w:rPr>
          <w:rFonts w:ascii="Acumin Pro" w:hAnsi="Acumin Pro"/>
          <w:sz w:val="20"/>
          <w:szCs w:val="20"/>
        </w:rPr>
        <w:t>jednorazowych prosimy o wskazanie producenta dozowników.</w:t>
      </w:r>
    </w:p>
    <w:p w:rsidR="00A9317D" w:rsidRDefault="0088387B" w:rsidP="007C6C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8387B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7C6CF2" w:rsidRDefault="007C6CF2" w:rsidP="007C6C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Pojemniki do uzupełnienia</w:t>
      </w:r>
      <w:r w:rsidR="00E515A6">
        <w:rPr>
          <w:rFonts w:ascii="Acumin Pro" w:hAnsi="Acumin Pro"/>
          <w:b/>
          <w:sz w:val="20"/>
          <w:szCs w:val="20"/>
        </w:rPr>
        <w:t>.</w:t>
      </w:r>
    </w:p>
    <w:p w:rsidR="00A9317D" w:rsidRDefault="00426A9C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B73F34">
        <w:rPr>
          <w:rFonts w:ascii="Acumin Pro" w:hAnsi="Acumin Pro"/>
          <w:sz w:val="20"/>
          <w:szCs w:val="20"/>
        </w:rPr>
        <w:t>Prosimy o informację (w podziale na części) czy u Zamawiającego występują dozowniki na</w:t>
      </w:r>
      <w:r w:rsidR="00B73F34" w:rsidRPr="00B73F34">
        <w:rPr>
          <w:rFonts w:ascii="Acumin Pro" w:hAnsi="Acumin Pro"/>
          <w:sz w:val="20"/>
          <w:szCs w:val="20"/>
        </w:rPr>
        <w:t xml:space="preserve"> </w:t>
      </w:r>
      <w:r w:rsidRPr="00B73F34">
        <w:rPr>
          <w:rFonts w:ascii="Acumin Pro" w:hAnsi="Acumin Pro"/>
          <w:sz w:val="20"/>
          <w:szCs w:val="20"/>
        </w:rPr>
        <w:t>mydło w pianie? Jeżeli tak, to jakie dozowniki – na wkłady jednorazowe czy na mydło</w:t>
      </w:r>
      <w:r w:rsidR="00B73F34" w:rsidRPr="00B73F34">
        <w:rPr>
          <w:rFonts w:ascii="Acumin Pro" w:hAnsi="Acumin Pro"/>
          <w:sz w:val="20"/>
          <w:szCs w:val="20"/>
        </w:rPr>
        <w:t xml:space="preserve"> </w:t>
      </w:r>
      <w:r w:rsidRPr="00B73F34">
        <w:rPr>
          <w:rFonts w:ascii="Acumin Pro" w:hAnsi="Acumin Pro"/>
          <w:sz w:val="20"/>
          <w:szCs w:val="20"/>
        </w:rPr>
        <w:t>dolewane posiada Zamawiający? W przypadku wkładów jednorazowych prosimy</w:t>
      </w:r>
      <w:r w:rsidR="00B73F34" w:rsidRPr="00B73F34">
        <w:rPr>
          <w:rFonts w:ascii="Acumin Pro" w:hAnsi="Acumin Pro"/>
          <w:sz w:val="20"/>
          <w:szCs w:val="20"/>
        </w:rPr>
        <w:t xml:space="preserve"> </w:t>
      </w:r>
      <w:r w:rsidRPr="00B73F34">
        <w:rPr>
          <w:rFonts w:ascii="Acumin Pro" w:hAnsi="Acumin Pro"/>
          <w:sz w:val="20"/>
          <w:szCs w:val="20"/>
        </w:rPr>
        <w:t>o wskazanie producenta dozowników.</w:t>
      </w:r>
    </w:p>
    <w:p w:rsidR="00A9317D" w:rsidRPr="00E515A6" w:rsidRDefault="0088387B" w:rsidP="0088387B">
      <w:pPr>
        <w:pStyle w:val="Akapitzlist"/>
        <w:ind w:left="0"/>
        <w:rPr>
          <w:rFonts w:ascii="Acumin Pro" w:hAnsi="Acumin Pro"/>
          <w:b/>
          <w:sz w:val="20"/>
          <w:szCs w:val="20"/>
          <w:lang w:val="pl-PL"/>
        </w:rPr>
      </w:pPr>
      <w:r w:rsidRPr="00E515A6">
        <w:rPr>
          <w:rFonts w:ascii="Acumin Pro" w:hAnsi="Acumin Pro"/>
          <w:b/>
          <w:sz w:val="20"/>
          <w:szCs w:val="20"/>
          <w:lang w:val="pl-PL"/>
        </w:rPr>
        <w:t>Odpowiedź</w:t>
      </w:r>
      <w:r w:rsidR="00E515A6">
        <w:rPr>
          <w:rFonts w:ascii="Acumin Pro" w:hAnsi="Acumin Pro"/>
          <w:b/>
          <w:sz w:val="20"/>
          <w:szCs w:val="20"/>
          <w:lang w:val="pl-PL"/>
        </w:rPr>
        <w:t>:</w:t>
      </w:r>
    </w:p>
    <w:p w:rsidR="001A4926" w:rsidRPr="00823331" w:rsidRDefault="001A4926" w:rsidP="0088387B">
      <w:pPr>
        <w:pStyle w:val="Akapitzlist"/>
        <w:ind w:left="0"/>
        <w:rPr>
          <w:rFonts w:ascii="Acumin Pro" w:hAnsi="Acumin Pro"/>
          <w:b/>
          <w:sz w:val="20"/>
          <w:szCs w:val="20"/>
          <w:lang w:val="pl-PL"/>
        </w:rPr>
      </w:pPr>
      <w:r w:rsidRPr="00823331">
        <w:rPr>
          <w:rFonts w:ascii="Acumin Pro" w:hAnsi="Acumin Pro"/>
          <w:b/>
          <w:sz w:val="20"/>
          <w:szCs w:val="20"/>
          <w:lang w:val="pl-PL"/>
        </w:rPr>
        <w:t>Nie posiadamy dozowników na mydło w pianie.</w:t>
      </w:r>
    </w:p>
    <w:p w:rsidR="00A9317D" w:rsidRDefault="00426A9C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A9317D">
        <w:rPr>
          <w:rFonts w:ascii="Acumin Pro" w:hAnsi="Acumin Pro"/>
          <w:sz w:val="20"/>
          <w:szCs w:val="20"/>
        </w:rPr>
        <w:t>Prosimy o informację (w podziale na części) czy i jakich odświeżaczy powietrza ( w sprayu,</w:t>
      </w:r>
      <w:r w:rsidR="00A9317D" w:rsidRPr="00A9317D">
        <w:rPr>
          <w:rFonts w:ascii="Acumin Pro" w:hAnsi="Acumin Pro"/>
          <w:sz w:val="20"/>
          <w:szCs w:val="20"/>
        </w:rPr>
        <w:t xml:space="preserve"> </w:t>
      </w:r>
      <w:r w:rsidRPr="00A9317D">
        <w:rPr>
          <w:rFonts w:ascii="Acumin Pro" w:hAnsi="Acumin Pro"/>
          <w:sz w:val="20"/>
          <w:szCs w:val="20"/>
        </w:rPr>
        <w:t>elektrycznych, w żelu) oczekuje Zamawiający?</w:t>
      </w:r>
    </w:p>
    <w:p w:rsidR="00A9317D" w:rsidRPr="00823331" w:rsidRDefault="0088387B" w:rsidP="0088387B">
      <w:pPr>
        <w:pStyle w:val="Akapitzlist"/>
        <w:ind w:left="0"/>
        <w:rPr>
          <w:rFonts w:ascii="Acumin Pro" w:hAnsi="Acumin Pro"/>
          <w:b/>
          <w:sz w:val="20"/>
          <w:szCs w:val="20"/>
          <w:lang w:val="pl-PL"/>
        </w:rPr>
      </w:pPr>
      <w:r w:rsidRPr="00823331">
        <w:rPr>
          <w:rFonts w:ascii="Acumin Pro" w:hAnsi="Acumin Pro"/>
          <w:b/>
          <w:sz w:val="20"/>
          <w:szCs w:val="20"/>
          <w:lang w:val="pl-PL"/>
        </w:rPr>
        <w:t>Odpowiedź</w:t>
      </w:r>
      <w:r w:rsidR="00E515A6">
        <w:rPr>
          <w:rFonts w:ascii="Acumin Pro" w:hAnsi="Acumin Pro"/>
          <w:b/>
          <w:sz w:val="20"/>
          <w:szCs w:val="20"/>
          <w:lang w:val="pl-PL"/>
        </w:rPr>
        <w:t>:</w:t>
      </w:r>
    </w:p>
    <w:p w:rsidR="001A4926" w:rsidRPr="00823331" w:rsidRDefault="001A4926" w:rsidP="0088387B">
      <w:pPr>
        <w:pStyle w:val="Akapitzlist"/>
        <w:ind w:left="0"/>
        <w:rPr>
          <w:rFonts w:ascii="Acumin Pro" w:hAnsi="Acumin Pro"/>
          <w:b/>
          <w:sz w:val="20"/>
          <w:szCs w:val="20"/>
          <w:lang w:val="pl-PL"/>
        </w:rPr>
      </w:pPr>
      <w:r w:rsidRPr="00823331">
        <w:rPr>
          <w:rFonts w:ascii="Acumin Pro" w:hAnsi="Acumin Pro"/>
          <w:b/>
          <w:sz w:val="20"/>
          <w:szCs w:val="20"/>
          <w:lang w:val="pl-PL"/>
        </w:rPr>
        <w:t>Zamawiający rezygnuje z dostawy odświeżaczy powietrza.</w:t>
      </w:r>
    </w:p>
    <w:p w:rsidR="00A9317D" w:rsidRDefault="00426A9C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A9317D">
        <w:rPr>
          <w:rFonts w:ascii="Acumin Pro" w:hAnsi="Acumin Pro"/>
          <w:sz w:val="20"/>
          <w:szCs w:val="20"/>
        </w:rPr>
        <w:t>Prosimy o informację czy czyszczenie wykładzin dywanowych ma odbywać się metodą</w:t>
      </w:r>
      <w:r w:rsidR="00A9317D" w:rsidRPr="00A9317D">
        <w:rPr>
          <w:rFonts w:ascii="Acumin Pro" w:hAnsi="Acumin Pro"/>
          <w:sz w:val="20"/>
          <w:szCs w:val="20"/>
        </w:rPr>
        <w:t xml:space="preserve"> </w:t>
      </w:r>
      <w:r w:rsidRPr="00A9317D">
        <w:rPr>
          <w:rFonts w:ascii="Acumin Pro" w:hAnsi="Acumin Pro"/>
          <w:sz w:val="20"/>
          <w:szCs w:val="20"/>
        </w:rPr>
        <w:t xml:space="preserve">ekstrakcji czy </w:t>
      </w:r>
      <w:proofErr w:type="spellStart"/>
      <w:r w:rsidRPr="00A9317D">
        <w:rPr>
          <w:rFonts w:ascii="Acumin Pro" w:hAnsi="Acumin Pro"/>
          <w:sz w:val="20"/>
          <w:szCs w:val="20"/>
        </w:rPr>
        <w:t>szamponowania</w:t>
      </w:r>
      <w:proofErr w:type="spellEnd"/>
      <w:r w:rsidRPr="00A9317D">
        <w:rPr>
          <w:rFonts w:ascii="Acumin Pro" w:hAnsi="Acumin Pro"/>
          <w:sz w:val="20"/>
          <w:szCs w:val="20"/>
        </w:rPr>
        <w:t>? Czy wybór met</w:t>
      </w:r>
      <w:r w:rsidR="00A9317D">
        <w:rPr>
          <w:rFonts w:ascii="Acumin Pro" w:hAnsi="Acumin Pro"/>
          <w:sz w:val="20"/>
          <w:szCs w:val="20"/>
        </w:rPr>
        <w:t>ody pozostawiony jest Wykonawcy?</w:t>
      </w:r>
    </w:p>
    <w:p w:rsidR="00A9317D" w:rsidRPr="00E515A6" w:rsidRDefault="0088387B" w:rsidP="0088387B">
      <w:pPr>
        <w:pStyle w:val="Akapitzlist"/>
        <w:ind w:left="0"/>
        <w:rPr>
          <w:rFonts w:ascii="Acumin Pro" w:hAnsi="Acumin Pro"/>
          <w:b/>
          <w:sz w:val="20"/>
          <w:szCs w:val="20"/>
          <w:lang w:val="pl-PL"/>
        </w:rPr>
      </w:pPr>
      <w:r w:rsidRPr="00E515A6">
        <w:rPr>
          <w:rFonts w:ascii="Acumin Pro" w:hAnsi="Acumin Pro"/>
          <w:b/>
          <w:sz w:val="20"/>
          <w:szCs w:val="20"/>
          <w:lang w:val="pl-PL"/>
        </w:rPr>
        <w:t>Odpowiedź</w:t>
      </w:r>
      <w:r w:rsidR="00E515A6">
        <w:rPr>
          <w:rFonts w:ascii="Acumin Pro" w:hAnsi="Acumin Pro"/>
          <w:b/>
          <w:sz w:val="20"/>
          <w:szCs w:val="20"/>
          <w:lang w:val="pl-PL"/>
        </w:rPr>
        <w:t>:</w:t>
      </w:r>
    </w:p>
    <w:p w:rsidR="001A4926" w:rsidRPr="00E515A6" w:rsidRDefault="00B779BA" w:rsidP="0088387B">
      <w:pPr>
        <w:pStyle w:val="Akapitzlist"/>
        <w:ind w:left="0"/>
        <w:rPr>
          <w:rFonts w:ascii="Acumin Pro" w:hAnsi="Acumin Pro"/>
          <w:b/>
          <w:sz w:val="20"/>
          <w:szCs w:val="20"/>
          <w:lang w:val="pl-PL"/>
        </w:rPr>
      </w:pPr>
      <w:r w:rsidRPr="00E515A6">
        <w:rPr>
          <w:rFonts w:ascii="Acumin Pro" w:hAnsi="Acumin Pro"/>
          <w:b/>
          <w:sz w:val="20"/>
          <w:szCs w:val="20"/>
          <w:lang w:val="pl-PL"/>
        </w:rPr>
        <w:t xml:space="preserve">Wybór metody </w:t>
      </w:r>
      <w:r w:rsidR="00E515A6">
        <w:rPr>
          <w:rFonts w:ascii="Acumin Pro" w:hAnsi="Acumin Pro"/>
          <w:b/>
          <w:sz w:val="20"/>
          <w:szCs w:val="20"/>
          <w:lang w:val="pl-PL"/>
        </w:rPr>
        <w:t>pozostawiony</w:t>
      </w:r>
      <w:r w:rsidRPr="00E515A6">
        <w:rPr>
          <w:rFonts w:ascii="Acumin Pro" w:hAnsi="Acumin Pro"/>
          <w:b/>
          <w:sz w:val="20"/>
          <w:szCs w:val="20"/>
          <w:lang w:val="pl-PL"/>
        </w:rPr>
        <w:t xml:space="preserve"> Wykonawcy.</w:t>
      </w:r>
    </w:p>
    <w:p w:rsidR="00426A9C" w:rsidRPr="00A9317D" w:rsidRDefault="00426A9C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A9317D">
        <w:rPr>
          <w:rFonts w:ascii="Acumin Pro" w:hAnsi="Acumin Pro"/>
          <w:sz w:val="20"/>
          <w:szCs w:val="20"/>
        </w:rPr>
        <w:t xml:space="preserve"> Prosimy o informację (w podziale na części) czy do obowiązków Wykonawcy należy</w:t>
      </w:r>
      <w:r w:rsidR="00A9317D">
        <w:rPr>
          <w:rFonts w:ascii="Acumin Pro" w:hAnsi="Acumin Pro"/>
          <w:sz w:val="20"/>
          <w:szCs w:val="20"/>
        </w:rPr>
        <w:t xml:space="preserve"> </w:t>
      </w:r>
      <w:r w:rsidRPr="00A9317D">
        <w:rPr>
          <w:rFonts w:ascii="Acumin Pro" w:hAnsi="Acumin Pro"/>
          <w:sz w:val="20"/>
          <w:szCs w:val="20"/>
        </w:rPr>
        <w:t>zapewnienie preparatu do dezynfekcji rąk? Jeżeli tak:</w:t>
      </w:r>
    </w:p>
    <w:p w:rsidR="00426A9C" w:rsidRPr="00426A9C" w:rsidRDefault="00426A9C" w:rsidP="00426A9C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426A9C">
        <w:rPr>
          <w:rFonts w:ascii="Acumin Pro" w:hAnsi="Acumin Pro"/>
          <w:sz w:val="20"/>
          <w:szCs w:val="20"/>
        </w:rPr>
        <w:t>a) prosimy o doprecyzowanie czy i jakie dozowniki na środki do dezynfekcji rąk posiada</w:t>
      </w:r>
      <w:r w:rsidR="0040739C">
        <w:rPr>
          <w:rFonts w:ascii="Acumin Pro" w:hAnsi="Acumin Pro"/>
          <w:sz w:val="20"/>
          <w:szCs w:val="20"/>
        </w:rPr>
        <w:t xml:space="preserve"> </w:t>
      </w:r>
      <w:r w:rsidRPr="00426A9C">
        <w:rPr>
          <w:rFonts w:ascii="Acumin Pro" w:hAnsi="Acumin Pro"/>
          <w:sz w:val="20"/>
          <w:szCs w:val="20"/>
        </w:rPr>
        <w:t>Zamawiający? Prosimy o wskazanie producenta tych dozowników.</w:t>
      </w:r>
    </w:p>
    <w:p w:rsidR="00426A9C" w:rsidRDefault="00426A9C" w:rsidP="00426A9C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426A9C">
        <w:rPr>
          <w:rFonts w:ascii="Acumin Pro" w:hAnsi="Acumin Pro"/>
          <w:sz w:val="20"/>
          <w:szCs w:val="20"/>
        </w:rPr>
        <w:t>b) prosimy o wskazanie jakie ilości preparatu do dezynfekcji rąk są wymagane?</w:t>
      </w:r>
    </w:p>
    <w:p w:rsidR="0088387B" w:rsidRDefault="0088387B" w:rsidP="00B779B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8387B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B779BA" w:rsidRDefault="00B779BA" w:rsidP="00B779B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Uzupełnianie preparatów do dezynfekcji nie jest objęte przedmiotem zamówienia.</w:t>
      </w:r>
    </w:p>
    <w:p w:rsidR="00B779BA" w:rsidRPr="0088387B" w:rsidRDefault="00B779BA" w:rsidP="00B779B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40739C" w:rsidRDefault="00426A9C" w:rsidP="00684E42">
      <w:pPr>
        <w:pStyle w:val="western"/>
        <w:numPr>
          <w:ilvl w:val="0"/>
          <w:numId w:val="21"/>
        </w:numPr>
        <w:spacing w:before="0" w:beforeAutospacing="0" w:after="0" w:afterAutospacing="0"/>
        <w:ind w:left="284" w:hanging="284"/>
        <w:jc w:val="both"/>
        <w:rPr>
          <w:rFonts w:ascii="Acumin Pro" w:hAnsi="Acumin Pro"/>
          <w:sz w:val="20"/>
          <w:szCs w:val="20"/>
        </w:rPr>
      </w:pPr>
      <w:r w:rsidRPr="0040739C">
        <w:rPr>
          <w:rFonts w:ascii="Acumin Pro" w:hAnsi="Acumin Pro"/>
          <w:sz w:val="20"/>
          <w:szCs w:val="20"/>
        </w:rPr>
        <w:t>Prosimy o informację (w podziale na części) czy do obowiązków Wykonawcy będzie</w:t>
      </w:r>
      <w:r w:rsidR="0040739C" w:rsidRPr="0040739C">
        <w:rPr>
          <w:rFonts w:ascii="Acumin Pro" w:hAnsi="Acumin Pro"/>
          <w:sz w:val="20"/>
          <w:szCs w:val="20"/>
        </w:rPr>
        <w:t xml:space="preserve"> </w:t>
      </w:r>
      <w:r w:rsidRPr="0040739C">
        <w:rPr>
          <w:rFonts w:ascii="Acumin Pro" w:hAnsi="Acumin Pro"/>
          <w:sz w:val="20"/>
          <w:szCs w:val="20"/>
        </w:rPr>
        <w:t>należało zapewnienie dodatkowej dezynfekcji powierzchni dotykowych? Jeżeli tak, z jaką</w:t>
      </w:r>
      <w:r w:rsidR="0040739C" w:rsidRPr="0040739C">
        <w:rPr>
          <w:rFonts w:ascii="Acumin Pro" w:hAnsi="Acumin Pro"/>
          <w:sz w:val="20"/>
          <w:szCs w:val="20"/>
        </w:rPr>
        <w:t xml:space="preserve"> </w:t>
      </w:r>
      <w:r w:rsidRPr="0040739C">
        <w:rPr>
          <w:rFonts w:ascii="Acumin Pro" w:hAnsi="Acumin Pro"/>
          <w:sz w:val="20"/>
          <w:szCs w:val="20"/>
        </w:rPr>
        <w:t>częstotliwością będzie wymagane wykonanie tych czynności? Prosimy o informację czy</w:t>
      </w:r>
      <w:r w:rsidR="0040739C" w:rsidRPr="0040739C">
        <w:rPr>
          <w:rFonts w:ascii="Acumin Pro" w:hAnsi="Acumin Pro"/>
          <w:sz w:val="20"/>
          <w:szCs w:val="20"/>
        </w:rPr>
        <w:t xml:space="preserve"> </w:t>
      </w:r>
      <w:r w:rsidRPr="0040739C">
        <w:rPr>
          <w:rFonts w:ascii="Acumin Pro" w:hAnsi="Acumin Pro"/>
          <w:sz w:val="20"/>
          <w:szCs w:val="20"/>
        </w:rPr>
        <w:t>Wykonawca zapewnia środek do wykonania tej dezynfekcji?</w:t>
      </w:r>
    </w:p>
    <w:p w:rsidR="00306280" w:rsidRDefault="00306280" w:rsidP="0088387B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88387B" w:rsidRPr="0088387B" w:rsidRDefault="0088387B" w:rsidP="0088387B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8387B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\:</w:t>
      </w:r>
    </w:p>
    <w:p w:rsidR="0088387B" w:rsidRPr="008D27D7" w:rsidRDefault="008D27D7" w:rsidP="008D27D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D27D7">
        <w:rPr>
          <w:rFonts w:ascii="Acumin Pro" w:hAnsi="Acumin Pro"/>
          <w:b/>
          <w:sz w:val="20"/>
          <w:szCs w:val="20"/>
        </w:rPr>
        <w:t>Zamawiający informuje że do obowiązków Wykonawcy należy dezynfekcja powierzchni dotykowych w toaletach wymienionych w załącznikac</w:t>
      </w:r>
      <w:r w:rsidRPr="00225090">
        <w:rPr>
          <w:rFonts w:ascii="Acumin Pro" w:hAnsi="Acumin Pro"/>
          <w:b/>
          <w:sz w:val="20"/>
          <w:szCs w:val="20"/>
        </w:rPr>
        <w:t>h</w:t>
      </w:r>
      <w:r w:rsidR="00630629" w:rsidRPr="00225090">
        <w:rPr>
          <w:rFonts w:ascii="Acumin Pro" w:hAnsi="Acumin Pro"/>
          <w:b/>
          <w:sz w:val="20"/>
          <w:szCs w:val="20"/>
        </w:rPr>
        <w:t xml:space="preserve"> podlegających zamówieniu.</w:t>
      </w:r>
    </w:p>
    <w:p w:rsidR="008D27D7" w:rsidRPr="008D27D7" w:rsidRDefault="008D27D7" w:rsidP="008D27D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40739C" w:rsidRDefault="0040739C" w:rsidP="00684E42">
      <w:pPr>
        <w:pStyle w:val="western"/>
        <w:numPr>
          <w:ilvl w:val="0"/>
          <w:numId w:val="21"/>
        </w:numPr>
        <w:spacing w:before="0" w:beforeAutospacing="0" w:after="0" w:afterAutospacing="0"/>
        <w:ind w:left="284" w:hanging="284"/>
        <w:jc w:val="both"/>
        <w:rPr>
          <w:rFonts w:ascii="Acumin Pro" w:hAnsi="Acumin Pro"/>
          <w:sz w:val="20"/>
          <w:szCs w:val="20"/>
        </w:rPr>
      </w:pPr>
      <w:r w:rsidRPr="0040739C">
        <w:rPr>
          <w:rFonts w:ascii="Acumin Pro" w:hAnsi="Acumin Pro"/>
          <w:sz w:val="20"/>
          <w:szCs w:val="20"/>
        </w:rPr>
        <w:t>Zamawiający w Opisie Przedmiotu Zamówienia podał nazwy środków. Prosimy o informację czy Wykonawca może stosować preparaty innych marek dostosowane do zakresu wykonywanych prac?</w:t>
      </w:r>
    </w:p>
    <w:p w:rsidR="00500D29" w:rsidRDefault="00500D29" w:rsidP="0088387B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88387B" w:rsidRDefault="0088387B" w:rsidP="0088387B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8387B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420F3D" w:rsidRPr="00823331" w:rsidRDefault="00F87EC9" w:rsidP="0088387B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823331">
        <w:rPr>
          <w:rFonts w:ascii="Acumin Pro" w:hAnsi="Acumin Pro"/>
          <w:b/>
          <w:sz w:val="20"/>
          <w:szCs w:val="20"/>
        </w:rPr>
        <w:t>Dopuszczamy stosowanie innych marek dostosowanych do wykonywanych prac. W załączniku dotyczącym Rogalina wymieniony jest konkretny  środek, wynika to z wymogów wykonawcy podłogi</w:t>
      </w:r>
      <w:r w:rsidR="00E515A6">
        <w:rPr>
          <w:rFonts w:ascii="Acumin Pro" w:hAnsi="Acumin Pro"/>
          <w:b/>
          <w:sz w:val="20"/>
          <w:szCs w:val="20"/>
        </w:rPr>
        <w:t>.</w:t>
      </w:r>
    </w:p>
    <w:p w:rsidR="0001450E" w:rsidRDefault="0001450E" w:rsidP="0088387B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420F3D" w:rsidRPr="00420F3D" w:rsidRDefault="00420F3D" w:rsidP="00684E42">
      <w:pPr>
        <w:pStyle w:val="western"/>
        <w:numPr>
          <w:ilvl w:val="0"/>
          <w:numId w:val="21"/>
        </w:numPr>
        <w:spacing w:before="0" w:beforeAutospacing="0" w:after="0" w:afterAutospacing="0"/>
        <w:ind w:left="284" w:hanging="284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>Czy dopuszczacie Państwo składanie ofert np. na 1 i 2 część bez części 3? Lub jakakolwiek inna konfiguracja złożenia oferty częściowej?</w:t>
      </w:r>
    </w:p>
    <w:p w:rsidR="00500D29" w:rsidRDefault="00500D29" w:rsidP="006958B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420F3D" w:rsidRPr="006958B7" w:rsidRDefault="00EC4420" w:rsidP="006958B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6958B7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F87EC9" w:rsidRDefault="00F87EC9" w:rsidP="006958B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6958B7">
        <w:rPr>
          <w:rFonts w:ascii="Acumin Pro" w:hAnsi="Acumin Pro"/>
          <w:b/>
          <w:sz w:val="20"/>
          <w:szCs w:val="20"/>
        </w:rPr>
        <w:t>Zamawiający dopuszcza składanie ofert na każdą część zamówienia</w:t>
      </w:r>
      <w:r w:rsidR="006958B7" w:rsidRPr="006958B7">
        <w:rPr>
          <w:rFonts w:ascii="Acumin Pro" w:hAnsi="Acumin Pro"/>
          <w:b/>
          <w:sz w:val="20"/>
          <w:szCs w:val="20"/>
        </w:rPr>
        <w:t xml:space="preserve"> oddzielnie.</w:t>
      </w:r>
    </w:p>
    <w:p w:rsidR="00420F3D" w:rsidRPr="00420F3D" w:rsidRDefault="00420F3D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 xml:space="preserve">W punkcie V piszecie Państwo, że "Zamawiający powierzy wybranemu wykonawcy realizację usług (...) na okres 12 miesięcy od dnia zawarcia umowy", natomiast w załączniku nr 1a oraz załącznik 1 b do SWZ Opis przedmiotu zamówienia część 2 podane są częstotliwości w 2-letnim okresie obowiązywania umowy. </w:t>
      </w:r>
    </w:p>
    <w:p w:rsidR="00420F3D" w:rsidRDefault="00420F3D" w:rsidP="00420F3D">
      <w:pPr>
        <w:pStyle w:val="western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>Czy to znaczy, że podane częstotliwości należy odnieść do rocznego obowiązywania umowy czy też należy je zmniejszyć o połowę? Proszę o podanie właściwych częstotliwości.</w:t>
      </w:r>
    </w:p>
    <w:p w:rsidR="00EC4420" w:rsidRPr="006958B7" w:rsidRDefault="00EC4420" w:rsidP="006958B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6958B7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6958B7" w:rsidRDefault="006958B7" w:rsidP="006958B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6958B7">
        <w:rPr>
          <w:rFonts w:ascii="Acumin Pro" w:hAnsi="Acumin Pro"/>
          <w:b/>
          <w:sz w:val="20"/>
          <w:szCs w:val="20"/>
        </w:rPr>
        <w:t>Umowa obowiązuje 12 miesięcy w związku z tym częstotliwość należy zmniejszyć o połowę.</w:t>
      </w:r>
    </w:p>
    <w:p w:rsidR="00420F3D" w:rsidRPr="00420F3D" w:rsidRDefault="00420F3D" w:rsidP="00684E42">
      <w:pPr>
        <w:pStyle w:val="western"/>
        <w:numPr>
          <w:ilvl w:val="0"/>
          <w:numId w:val="21"/>
        </w:numPr>
        <w:ind w:left="284" w:hanging="426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 xml:space="preserve">Pytania do części "Mycie okien" Gmach Główny oraz "Mycie okien" Wielkopolskie Muzeum Wojskowe z załącznika 1 a - czy podany metraż okien 6000 m2 oraz 450 m2 to jest powierzchnia jednej strony okien czy dwóch?  </w:t>
      </w:r>
    </w:p>
    <w:p w:rsidR="00006653" w:rsidRPr="00A95748" w:rsidRDefault="00A95748" w:rsidP="00A95748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A95748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A95748" w:rsidRPr="00A95748" w:rsidRDefault="00A95748" w:rsidP="00A95748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A95748">
        <w:rPr>
          <w:rFonts w:ascii="Acumin Pro" w:hAnsi="Acumin Pro"/>
          <w:b/>
          <w:sz w:val="20"/>
          <w:szCs w:val="20"/>
        </w:rPr>
        <w:t>Powierzchnia okien z dwóch stron.</w:t>
      </w:r>
    </w:p>
    <w:p w:rsidR="00420F3D" w:rsidRPr="00420F3D" w:rsidRDefault="00420F3D" w:rsidP="00684E42">
      <w:pPr>
        <w:pStyle w:val="western"/>
        <w:numPr>
          <w:ilvl w:val="0"/>
          <w:numId w:val="21"/>
        </w:numPr>
        <w:ind w:left="284" w:hanging="426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>Na jakiej wysokości znajdują się okna i czy wszystkie otwierają się do wewnątrz?</w:t>
      </w:r>
    </w:p>
    <w:p w:rsidR="00C86575" w:rsidRPr="00006653" w:rsidRDefault="00C86575" w:rsidP="00A95748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006653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C86575" w:rsidRPr="00006653" w:rsidRDefault="00C86575" w:rsidP="00A95748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006653">
        <w:rPr>
          <w:rFonts w:ascii="Acumin Pro" w:hAnsi="Acumin Pro"/>
          <w:b/>
          <w:sz w:val="20"/>
          <w:szCs w:val="20"/>
        </w:rPr>
        <w:t>Wszystkie okna otwierają się do wewnątrz, okna w Wielkopolskim Muzeum Wojskowym są na parterze, nieotwierane, elewacyjne. W Gmachu Głównym okna są wysokie na ok. 4m, potrzebna drabina lub podest</w:t>
      </w:r>
      <w:r>
        <w:rPr>
          <w:rFonts w:ascii="Acumin Pro" w:hAnsi="Acumin Pro"/>
          <w:b/>
          <w:sz w:val="20"/>
          <w:szCs w:val="20"/>
        </w:rPr>
        <w:t>.</w:t>
      </w:r>
    </w:p>
    <w:p w:rsidR="00C86575" w:rsidRPr="00A95748" w:rsidRDefault="00420F3D" w:rsidP="00684E42">
      <w:pPr>
        <w:pStyle w:val="western"/>
        <w:numPr>
          <w:ilvl w:val="0"/>
          <w:numId w:val="21"/>
        </w:numPr>
        <w:ind w:left="284" w:hanging="426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 xml:space="preserve">Pytanie dotyczące czasu wykonywania sprzątania/ </w:t>
      </w:r>
      <w:proofErr w:type="spellStart"/>
      <w:r w:rsidRPr="00420F3D">
        <w:rPr>
          <w:rFonts w:ascii="Acumin Pro" w:hAnsi="Acumin Pro"/>
          <w:sz w:val="20"/>
          <w:szCs w:val="20"/>
        </w:rPr>
        <w:t>doczyszczeń</w:t>
      </w:r>
      <w:proofErr w:type="spellEnd"/>
      <w:r w:rsidRPr="00420F3D">
        <w:rPr>
          <w:rFonts w:ascii="Acumin Pro" w:hAnsi="Acumin Pro"/>
          <w:sz w:val="20"/>
          <w:szCs w:val="20"/>
        </w:rPr>
        <w:t xml:space="preserve"> okresowych - czy zakładają Państwo wykonanie określonych czyszczeń w 1 wskazany poniedziałek między 7:30 a 15:30? Czy mogą być to kolejne poniedziałki oraz godziny nocne?</w:t>
      </w:r>
    </w:p>
    <w:p w:rsidR="00C86575" w:rsidRPr="00225090" w:rsidRDefault="00C86575" w:rsidP="00C86575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225090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C86575" w:rsidRPr="00C24818" w:rsidRDefault="00C86575" w:rsidP="00C86575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bookmarkStart w:id="0" w:name="_Hlk98136499"/>
      <w:r w:rsidRPr="00225090">
        <w:rPr>
          <w:rFonts w:ascii="Acumin Pro" w:hAnsi="Acumin Pro"/>
          <w:b/>
          <w:sz w:val="20"/>
          <w:szCs w:val="20"/>
        </w:rPr>
        <w:t xml:space="preserve">Sprzątanie </w:t>
      </w:r>
      <w:r w:rsidR="00481CAA" w:rsidRPr="00225090">
        <w:rPr>
          <w:rFonts w:ascii="Acumin Pro" w:hAnsi="Acumin Pro"/>
          <w:b/>
          <w:sz w:val="20"/>
          <w:szCs w:val="20"/>
        </w:rPr>
        <w:t xml:space="preserve">ustalono </w:t>
      </w:r>
      <w:r w:rsidRPr="00225090">
        <w:rPr>
          <w:rFonts w:ascii="Acumin Pro" w:hAnsi="Acumin Pro"/>
          <w:b/>
          <w:sz w:val="20"/>
          <w:szCs w:val="20"/>
        </w:rPr>
        <w:t>w poniedział</w:t>
      </w:r>
      <w:r w:rsidR="00481CAA" w:rsidRPr="00225090">
        <w:rPr>
          <w:rFonts w:ascii="Acumin Pro" w:hAnsi="Acumin Pro"/>
          <w:b/>
          <w:sz w:val="20"/>
          <w:szCs w:val="20"/>
        </w:rPr>
        <w:t>e</w:t>
      </w:r>
      <w:r w:rsidRPr="00225090">
        <w:rPr>
          <w:rFonts w:ascii="Acumin Pro" w:hAnsi="Acumin Pro"/>
          <w:b/>
          <w:sz w:val="20"/>
          <w:szCs w:val="20"/>
        </w:rPr>
        <w:t>k</w:t>
      </w:r>
      <w:r w:rsidR="00481CAA" w:rsidRPr="00225090">
        <w:rPr>
          <w:rFonts w:ascii="Acumin Pro" w:hAnsi="Acumin Pro"/>
          <w:b/>
          <w:sz w:val="20"/>
          <w:szCs w:val="20"/>
        </w:rPr>
        <w:t xml:space="preserve"> ponieważ w poniedziałki oddziały są zamknięte dla zwiedzających</w:t>
      </w:r>
      <w:r w:rsidRPr="00225090">
        <w:rPr>
          <w:rFonts w:ascii="Acumin Pro" w:hAnsi="Acumin Pro"/>
          <w:b/>
          <w:sz w:val="20"/>
          <w:szCs w:val="20"/>
        </w:rPr>
        <w:t xml:space="preserve">, </w:t>
      </w:r>
      <w:r w:rsidR="00481CAA" w:rsidRPr="00225090">
        <w:rPr>
          <w:rFonts w:ascii="Acumin Pro" w:hAnsi="Acumin Pro"/>
          <w:b/>
          <w:sz w:val="20"/>
          <w:szCs w:val="20"/>
        </w:rPr>
        <w:t>zawsze</w:t>
      </w:r>
      <w:r w:rsidRPr="00225090">
        <w:rPr>
          <w:rFonts w:ascii="Acumin Pro" w:hAnsi="Acumin Pro"/>
          <w:b/>
          <w:sz w:val="20"/>
          <w:szCs w:val="20"/>
        </w:rPr>
        <w:t xml:space="preserve">  terminy uzgadniamy z</w:t>
      </w:r>
      <w:r w:rsidR="00481CAA" w:rsidRPr="00225090">
        <w:rPr>
          <w:rFonts w:ascii="Acumin Pro" w:hAnsi="Acumin Pro"/>
          <w:b/>
          <w:sz w:val="20"/>
          <w:szCs w:val="20"/>
        </w:rPr>
        <w:t xml:space="preserve"> K</w:t>
      </w:r>
      <w:r w:rsidRPr="00225090">
        <w:rPr>
          <w:rFonts w:ascii="Acumin Pro" w:hAnsi="Acumin Pro"/>
          <w:b/>
          <w:sz w:val="20"/>
          <w:szCs w:val="20"/>
        </w:rPr>
        <w:t xml:space="preserve">ierownikiem </w:t>
      </w:r>
      <w:r w:rsidR="00481CAA" w:rsidRPr="00225090">
        <w:rPr>
          <w:rFonts w:ascii="Acumin Pro" w:hAnsi="Acumin Pro"/>
          <w:b/>
          <w:sz w:val="20"/>
          <w:szCs w:val="20"/>
        </w:rPr>
        <w:t xml:space="preserve">Sekcji Administracji  </w:t>
      </w:r>
      <w:r w:rsidRPr="00225090">
        <w:rPr>
          <w:rFonts w:ascii="Acumin Pro" w:hAnsi="Acumin Pro"/>
          <w:b/>
          <w:sz w:val="20"/>
          <w:szCs w:val="20"/>
        </w:rPr>
        <w:t>oddziału</w:t>
      </w:r>
      <w:r w:rsidR="00481CAA" w:rsidRPr="00225090">
        <w:rPr>
          <w:rFonts w:ascii="Acumin Pro" w:hAnsi="Acumin Pro"/>
          <w:b/>
          <w:sz w:val="20"/>
          <w:szCs w:val="20"/>
        </w:rPr>
        <w:t>.</w:t>
      </w:r>
      <w:r w:rsidRPr="00225090">
        <w:rPr>
          <w:rFonts w:ascii="Acumin Pro" w:hAnsi="Acumin Pro"/>
          <w:b/>
          <w:sz w:val="20"/>
          <w:szCs w:val="20"/>
        </w:rPr>
        <w:t xml:space="preserve"> </w:t>
      </w:r>
    </w:p>
    <w:bookmarkEnd w:id="0"/>
    <w:p w:rsidR="00420F3D" w:rsidRDefault="00420F3D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>Niektóre z powierzchnie są bardzo rozległe, a technologia nakładania środków chemicznych wymaga odpowiedniego czasu schnięcia, dlatego nie jest możliwe wykonanie całej pracy w ciągu 8 godzin np. woskowanie parkietu w Pałacu w Rogalinie  760 m2. W jakich przedziałach czasowych możemy planować takie prace?</w:t>
      </w:r>
    </w:p>
    <w:p w:rsidR="004E36FA" w:rsidRPr="00225090" w:rsidRDefault="004E36FA" w:rsidP="004E36F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225090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481CAA" w:rsidRPr="00C24818" w:rsidRDefault="00481CAA" w:rsidP="00481CA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225090">
        <w:rPr>
          <w:rFonts w:ascii="Acumin Pro" w:hAnsi="Acumin Pro"/>
          <w:b/>
          <w:sz w:val="20"/>
          <w:szCs w:val="20"/>
        </w:rPr>
        <w:t xml:space="preserve">Sprzątanie ustalono w poniedziałek ponieważ w poniedziałki oddziały są zamknięte dla zwiedzających, zawsze  terminy uzgadniamy z kierownikiem oddziału, jeśli występuje taka </w:t>
      </w:r>
      <w:r w:rsidRPr="00225090">
        <w:rPr>
          <w:rFonts w:ascii="Acumin Pro" w:hAnsi="Acumin Pro"/>
          <w:b/>
          <w:sz w:val="20"/>
          <w:szCs w:val="20"/>
        </w:rPr>
        <w:lastRenderedPageBreak/>
        <w:t>potrzeba, należy termin i czas wykonania  uzgodnić z Kierownikiem Sekcji Administracji Oddziału.</w:t>
      </w:r>
    </w:p>
    <w:p w:rsidR="004E36FA" w:rsidRPr="00C24818" w:rsidRDefault="004E36FA" w:rsidP="004E36F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420F3D" w:rsidRPr="00420F3D" w:rsidRDefault="00420F3D" w:rsidP="00684E42">
      <w:pPr>
        <w:pStyle w:val="western"/>
        <w:numPr>
          <w:ilvl w:val="0"/>
          <w:numId w:val="21"/>
        </w:numPr>
        <w:spacing w:before="0" w:beforeAutospacing="0" w:after="0" w:afterAutospacing="0"/>
        <w:ind w:left="284" w:hanging="284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>Pytanie dotyczące osoby świadczącej serwis sprzątający toalet w budynkach w Poznaniu - czy ta osoba ma być cały czas obecna na obiekcie w godzinach pracy Muzeum, czy np. mogłaby po wykonaniu sprzątania w Gmachu Głównym przejść do kolejnego gmachu?</w:t>
      </w:r>
    </w:p>
    <w:p w:rsidR="00500D29" w:rsidRDefault="00500D29" w:rsidP="00306280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6E0FFD" w:rsidRPr="006E0FFD" w:rsidRDefault="006E0FFD" w:rsidP="00306280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9340A3" w:rsidRDefault="006E0FFD" w:rsidP="006E0FF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Sprzątanie w Gmachu Głównym i w Muzeum Sztuk Użytkowych może wykonywać ta sama grupa, może się przemieszczać pomiędzy oddziałami</w:t>
      </w:r>
    </w:p>
    <w:p w:rsidR="006E0FFD" w:rsidRPr="009340A3" w:rsidRDefault="006E0FFD" w:rsidP="006E0FF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420F3D" w:rsidRDefault="00420F3D" w:rsidP="00684E42">
      <w:pPr>
        <w:pStyle w:val="western"/>
        <w:numPr>
          <w:ilvl w:val="0"/>
          <w:numId w:val="21"/>
        </w:numPr>
        <w:spacing w:before="0" w:beforeAutospacing="0" w:after="0" w:afterAutospacing="0"/>
        <w:ind w:left="284" w:hanging="284"/>
        <w:jc w:val="both"/>
        <w:rPr>
          <w:rFonts w:ascii="Acumin Pro" w:hAnsi="Acumin Pro"/>
          <w:sz w:val="20"/>
          <w:szCs w:val="20"/>
        </w:rPr>
      </w:pPr>
      <w:r w:rsidRPr="00420F3D">
        <w:rPr>
          <w:rFonts w:ascii="Acumin Pro" w:hAnsi="Acumin Pro"/>
          <w:sz w:val="20"/>
          <w:szCs w:val="20"/>
        </w:rPr>
        <w:t>Kiedy możliwe są wizje na terenie wymienionych obiektów i z kim można ustalić termin wizyty?</w:t>
      </w:r>
    </w:p>
    <w:p w:rsidR="0083710A" w:rsidRDefault="0083710A" w:rsidP="00EC4420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6E0FFD" w:rsidRPr="006E0FFD" w:rsidRDefault="006E0FFD" w:rsidP="006E0FFD">
      <w:pPr>
        <w:pStyle w:val="western"/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6E0FFD" w:rsidRPr="006E0FFD" w:rsidRDefault="006E0FFD" w:rsidP="006E0FFD">
      <w:pPr>
        <w:pStyle w:val="western"/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Uzgodnienia terminów bezpośrednio z kierownikami oddziałów od poniedziałku do piątku w godzinach od 8.00 do 15.30 :</w:t>
      </w:r>
    </w:p>
    <w:p w:rsidR="006E0FFD" w:rsidRPr="006E0FFD" w:rsidRDefault="006E0FFD" w:rsidP="00E515A6">
      <w:pPr>
        <w:pStyle w:val="western"/>
        <w:numPr>
          <w:ilvl w:val="0"/>
          <w:numId w:val="22"/>
        </w:numPr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Gmach Główny 61 8568 006</w:t>
      </w:r>
    </w:p>
    <w:p w:rsidR="006E0FFD" w:rsidRPr="006E0FFD" w:rsidRDefault="006E0FFD" w:rsidP="00E515A6">
      <w:pPr>
        <w:pStyle w:val="western"/>
        <w:numPr>
          <w:ilvl w:val="0"/>
          <w:numId w:val="22"/>
        </w:numPr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Muzeum Sztuk Użytkowych 61 8568 181</w:t>
      </w:r>
    </w:p>
    <w:p w:rsidR="006E0FFD" w:rsidRPr="006E0FFD" w:rsidRDefault="006E0FFD" w:rsidP="00E515A6">
      <w:pPr>
        <w:pStyle w:val="western"/>
        <w:numPr>
          <w:ilvl w:val="0"/>
          <w:numId w:val="22"/>
        </w:numPr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Pałac w Rogalinie 61 8138 803, 725 270 042</w:t>
      </w:r>
    </w:p>
    <w:p w:rsidR="006E0FFD" w:rsidRPr="006E0FFD" w:rsidRDefault="006E0FFD" w:rsidP="006E0FFD">
      <w:pPr>
        <w:pStyle w:val="western"/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6E0FFD">
        <w:rPr>
          <w:rFonts w:ascii="Acumin Pro" w:hAnsi="Acumin Pro"/>
          <w:b/>
          <w:sz w:val="20"/>
          <w:szCs w:val="20"/>
        </w:rPr>
        <w:t>lub do ko Kierownika Działu Administracji 61 8568 155</w:t>
      </w:r>
    </w:p>
    <w:p w:rsidR="0083710A" w:rsidRPr="0083710A" w:rsidRDefault="0083710A" w:rsidP="0083710A">
      <w:pPr>
        <w:pStyle w:val="western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W związku z zamiarem przystąpienia naszej firmy do w/w przetargu prosimy o udzielenie odpowiedzi na</w:t>
      </w:r>
      <w:r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poniższe pytania dotyczące specyfikacji warunków zamówienia oraz projektu umowy:</w:t>
      </w:r>
    </w:p>
    <w:p w:rsidR="0083710A" w:rsidRDefault="0083710A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9C6530">
        <w:rPr>
          <w:rFonts w:ascii="Acumin Pro" w:hAnsi="Acumin Pro"/>
          <w:sz w:val="20"/>
          <w:szCs w:val="20"/>
        </w:rPr>
        <w:t>Proszę o informację, czy zamawiający dopuszcza realizację usługi przez osoby posiadające orzeczenie</w:t>
      </w:r>
      <w:r w:rsidR="009C6530" w:rsidRPr="009C6530">
        <w:rPr>
          <w:rFonts w:ascii="Acumin Pro" w:hAnsi="Acumin Pro"/>
          <w:sz w:val="20"/>
          <w:szCs w:val="20"/>
        </w:rPr>
        <w:t xml:space="preserve"> </w:t>
      </w:r>
      <w:r w:rsidRPr="009C6530">
        <w:rPr>
          <w:rFonts w:ascii="Acumin Pro" w:hAnsi="Acumin Pro"/>
          <w:sz w:val="20"/>
          <w:szCs w:val="20"/>
        </w:rPr>
        <w:t>o niepełnosprawności – zgodnie z ustawą z dnia 27 sierpnia 1997 r. o rehabilitacji zawodowej i</w:t>
      </w:r>
      <w:r w:rsidR="009C6530" w:rsidRPr="009C6530">
        <w:rPr>
          <w:rFonts w:ascii="Acumin Pro" w:hAnsi="Acumin Pro"/>
          <w:sz w:val="20"/>
          <w:szCs w:val="20"/>
        </w:rPr>
        <w:t xml:space="preserve"> </w:t>
      </w:r>
      <w:r w:rsidRPr="009C6530">
        <w:rPr>
          <w:rFonts w:ascii="Acumin Pro" w:hAnsi="Acumin Pro"/>
          <w:sz w:val="20"/>
          <w:szCs w:val="20"/>
        </w:rPr>
        <w:t xml:space="preserve">społecznej oraz zatrudnianiu osób niepełnosprawnych (Dz. U. z 2011 r. Nr 127, poz. 721, z </w:t>
      </w:r>
      <w:proofErr w:type="spellStart"/>
      <w:r w:rsidRPr="009C6530">
        <w:rPr>
          <w:rFonts w:ascii="Acumin Pro" w:hAnsi="Acumin Pro"/>
          <w:sz w:val="20"/>
          <w:szCs w:val="20"/>
        </w:rPr>
        <w:t>późn</w:t>
      </w:r>
      <w:proofErr w:type="spellEnd"/>
      <w:r w:rsidRPr="009C6530">
        <w:rPr>
          <w:rFonts w:ascii="Acumin Pro" w:hAnsi="Acumin Pro"/>
          <w:sz w:val="20"/>
          <w:szCs w:val="20"/>
        </w:rPr>
        <w:t>. zm.)?</w:t>
      </w:r>
    </w:p>
    <w:p w:rsidR="00F64FD8" w:rsidRPr="00F64FD8" w:rsidRDefault="00F64FD8" w:rsidP="00F64FD8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F64FD8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9C6530" w:rsidRPr="00F64FD8" w:rsidRDefault="00F64FD8" w:rsidP="00F64FD8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 xml:space="preserve">Zamawiający dopuszcza </w:t>
      </w:r>
      <w:r w:rsidR="00414E97" w:rsidRPr="00823331">
        <w:rPr>
          <w:rFonts w:ascii="Acumin Pro" w:hAnsi="Acumin Pro"/>
          <w:b/>
          <w:sz w:val="20"/>
          <w:szCs w:val="20"/>
        </w:rPr>
        <w:t>realizację zamówienia przez osoby z niepełnosprawnością, jednak nie może ona uniemożliwiać wykonania usługi zgodnie z naszymi oczekiwaniami, poza tym w takim wypadku musi takie osoby nadzorować ktoś ze strony wykonawcy.</w:t>
      </w:r>
    </w:p>
    <w:p w:rsidR="0083710A" w:rsidRDefault="0083710A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9C6530">
        <w:rPr>
          <w:rFonts w:ascii="Acumin Pro" w:hAnsi="Acumin Pro"/>
          <w:sz w:val="20"/>
          <w:szCs w:val="20"/>
        </w:rPr>
        <w:t>Uprzejmie proszę o informację, czy Zamawiający akceptuje wystawienie przez wykonawcę</w:t>
      </w:r>
      <w:r w:rsidR="009C6530" w:rsidRPr="009C6530">
        <w:rPr>
          <w:rFonts w:ascii="Acumin Pro" w:hAnsi="Acumin Pro"/>
          <w:sz w:val="20"/>
          <w:szCs w:val="20"/>
        </w:rPr>
        <w:t xml:space="preserve"> </w:t>
      </w:r>
      <w:r w:rsidRPr="009C6530">
        <w:rPr>
          <w:rFonts w:ascii="Acumin Pro" w:hAnsi="Acumin Pro"/>
          <w:sz w:val="20"/>
          <w:szCs w:val="20"/>
        </w:rPr>
        <w:t>ustrukturyzowanych faktur korygujących oraz innych ustrukturyzowanych dokumentów</w:t>
      </w:r>
      <w:r w:rsidR="009C6530" w:rsidRPr="009C6530">
        <w:rPr>
          <w:rFonts w:ascii="Acumin Pro" w:hAnsi="Acumin Pro"/>
          <w:sz w:val="20"/>
          <w:szCs w:val="20"/>
        </w:rPr>
        <w:t xml:space="preserve"> </w:t>
      </w:r>
      <w:r w:rsidRPr="009C6530">
        <w:rPr>
          <w:rFonts w:ascii="Acumin Pro" w:hAnsi="Acumin Pro"/>
          <w:sz w:val="20"/>
          <w:szCs w:val="20"/>
        </w:rPr>
        <w:t>elektronicznych, dotyczących wykonania umowy o przedmiotowe zamówienie publiczne oraz</w:t>
      </w:r>
      <w:r w:rsidR="009C6530" w:rsidRPr="009C6530">
        <w:rPr>
          <w:rFonts w:ascii="Acumin Pro" w:hAnsi="Acumin Pro"/>
          <w:sz w:val="20"/>
          <w:szCs w:val="20"/>
        </w:rPr>
        <w:t xml:space="preserve"> </w:t>
      </w:r>
      <w:r w:rsidRPr="009C6530">
        <w:rPr>
          <w:rFonts w:ascii="Acumin Pro" w:hAnsi="Acumin Pro"/>
          <w:sz w:val="20"/>
          <w:szCs w:val="20"/>
        </w:rPr>
        <w:t>przesłanie tychże dokumentów za pośrednictwem Platformy Elektronicznego Fakturowania</w:t>
      </w:r>
      <w:r w:rsidR="009C6530" w:rsidRPr="009C6530">
        <w:rPr>
          <w:rFonts w:ascii="Acumin Pro" w:hAnsi="Acumin Pro"/>
          <w:sz w:val="20"/>
          <w:szCs w:val="20"/>
        </w:rPr>
        <w:t xml:space="preserve"> </w:t>
      </w:r>
      <w:r w:rsidRPr="009C6530">
        <w:rPr>
          <w:rFonts w:ascii="Acumin Pro" w:hAnsi="Acumin Pro"/>
          <w:sz w:val="20"/>
          <w:szCs w:val="20"/>
        </w:rPr>
        <w:t>https://www.brokerinfinite.efaktura.gov.pl/ ?</w:t>
      </w:r>
    </w:p>
    <w:p w:rsidR="009F1809" w:rsidRPr="00225090" w:rsidRDefault="009F1809" w:rsidP="009F1809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225090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9F1809" w:rsidRPr="00225090" w:rsidRDefault="009F1809" w:rsidP="009F1809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225090">
        <w:rPr>
          <w:rFonts w:ascii="Acumin Pro" w:hAnsi="Acumin Pro"/>
          <w:b/>
          <w:sz w:val="20"/>
          <w:szCs w:val="20"/>
        </w:rPr>
        <w:t xml:space="preserve">Zamawiający </w:t>
      </w:r>
      <w:r w:rsidR="00823331" w:rsidRPr="00225090">
        <w:rPr>
          <w:rFonts w:ascii="Acumin Pro" w:hAnsi="Acumin Pro"/>
          <w:b/>
          <w:sz w:val="20"/>
          <w:szCs w:val="20"/>
        </w:rPr>
        <w:t>nie posiada konta na Platformie Elektronicznego Fakturowania i z niej nie korzysta</w:t>
      </w:r>
      <w:r w:rsidR="00481CAA" w:rsidRPr="00225090">
        <w:rPr>
          <w:rFonts w:ascii="Acumin Pro" w:hAnsi="Acumin Pro"/>
          <w:b/>
          <w:sz w:val="20"/>
          <w:szCs w:val="20"/>
        </w:rPr>
        <w:t>.</w:t>
      </w:r>
    </w:p>
    <w:p w:rsidR="0083710A" w:rsidRPr="00C10EF6" w:rsidRDefault="0083710A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C10EF6">
        <w:rPr>
          <w:rFonts w:ascii="Acumin Pro" w:hAnsi="Acumin Pro"/>
          <w:sz w:val="20"/>
          <w:szCs w:val="20"/>
        </w:rPr>
        <w:t>Jednocześnie proszę o podanie konta Zamawiającego znajdującego się na Platformie Elektronicznego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Fakturowania, umożliwiającego przesłanie ustrukturyzowanej faktury elektronicznej.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Fakturowanie oraz wystawienie innych dokumentów w ustrukturyzowanej formie elektronicznej jest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zgodne z przepisami podatkowymi, wynikającymi z ustawy o podatku od towarów i usług (VAT) oraz z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przepisami ustawy z dnia 9 listopada 2018 r. o elektronicznym fakturowaniu w zamówieniach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 xml:space="preserve">publicznych, koncesjach na roboty budowlane lub usługi oraz partnerstwie </w:t>
      </w:r>
      <w:proofErr w:type="spellStart"/>
      <w:r w:rsidRPr="00C10EF6">
        <w:rPr>
          <w:rFonts w:ascii="Acumin Pro" w:hAnsi="Acumin Pro"/>
          <w:sz w:val="20"/>
          <w:szCs w:val="20"/>
        </w:rPr>
        <w:t>publiczno</w:t>
      </w:r>
      <w:proofErr w:type="spellEnd"/>
      <w:r w:rsidRPr="00C10EF6">
        <w:rPr>
          <w:rFonts w:ascii="Acumin Pro" w:hAnsi="Acumin Pro"/>
          <w:sz w:val="20"/>
          <w:szCs w:val="20"/>
        </w:rPr>
        <w:t xml:space="preserve"> – prywatnym (Dz.U.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z 2019 r. poz. 2020 ze zm.) oraz jest powszechnie stosowane pomiędzy Zamawiającymi a wykonawcami.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Taki sposób przekazywania w/w dokumentów ułatwia wzajemną komunikację oraz eliminuje szereg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błędów, występujących w procesie tradycyjnego fakturowania. I jest rekomendowany, jako docelowy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 xml:space="preserve">sposób obiegu dokumentów księgowych przez Ministerstwo Rozwoju, Pracy i </w:t>
      </w:r>
      <w:r w:rsidRPr="00C10EF6">
        <w:rPr>
          <w:rFonts w:ascii="Acumin Pro" w:hAnsi="Acumin Pro"/>
          <w:sz w:val="20"/>
          <w:szCs w:val="20"/>
        </w:rPr>
        <w:lastRenderedPageBreak/>
        <w:t>Technologii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(https://www.gov.pl/web/rozwoj-praca-technologia/e-fakturowanie-w-zamowieniach-publicznych) ze</w:t>
      </w:r>
      <w:r w:rsidR="00C10EF6" w:rsidRPr="00C10EF6">
        <w:rPr>
          <w:rFonts w:ascii="Acumin Pro" w:hAnsi="Acumin Pro"/>
          <w:sz w:val="20"/>
          <w:szCs w:val="20"/>
        </w:rPr>
        <w:t xml:space="preserve"> </w:t>
      </w:r>
      <w:r w:rsidRPr="00C10EF6">
        <w:rPr>
          <w:rFonts w:ascii="Acumin Pro" w:hAnsi="Acumin Pro"/>
          <w:sz w:val="20"/>
          <w:szCs w:val="20"/>
        </w:rPr>
        <w:t>względu na: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1) zmniejszenie liczby zatorów płatniczych;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2) zmniejszenie liczby błędnych i fałszywych faktur w obiegu;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3) ujednolicony model obsługi e-faktur w ramach zamówień publicznych;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4) zmniejszenie kosztów operacyjnych oraz zminimalizowanie przeszkód w handlu;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5) redukcję kosztów fakturowania i przetwarzania danych oraz obsługi zamówień publicznych;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6) kompleksową e-obsługa dostaw publicznych;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7) zwiększenie szans udziału polskich firm w transgranicznym rynku zamówień publicznych i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 xml:space="preserve"> obrocie gospodarczym UE;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8) łatwiejsze archiwizowanie dokumentów;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9) wzrost cyfryzacji sektora publicznego w Polsce;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10) rozwój systemu płatności bezgotówkowych;</w:t>
      </w:r>
    </w:p>
    <w:p w:rsidR="0083710A" w:rsidRPr="0083710A" w:rsidRDefault="0083710A" w:rsidP="00C10EF6">
      <w:pPr>
        <w:pStyle w:val="western"/>
        <w:spacing w:before="0" w:beforeAutospacing="0" w:after="0" w:afterAutospacing="0"/>
        <w:ind w:left="851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11) wzrost popytu na produkty i usługi informatyczne.</w:t>
      </w:r>
    </w:p>
    <w:p w:rsidR="0083710A" w:rsidRDefault="0083710A" w:rsidP="0083710A">
      <w:pPr>
        <w:pStyle w:val="western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Niezależnie od powyższego, w dobie epidemii COVID-19, taki sposób przekazywania dokumentów</w:t>
      </w:r>
      <w:r w:rsidR="008C78C9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rozliczeniowych jest jedną ze skutecznych metod w powstrzymywaniu rozprzestrzenianiu się wirusa oraz</w:t>
      </w:r>
      <w:r w:rsidR="008C78C9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gwarantuje utrzymanie ciągłości procesów księgowych i podatkowych.</w:t>
      </w:r>
    </w:p>
    <w:p w:rsidR="00ED1F1F" w:rsidRPr="00225090" w:rsidRDefault="00ED1F1F" w:rsidP="00ED1F1F">
      <w:pPr>
        <w:pStyle w:val="western"/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225090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ED1F1F" w:rsidRPr="00ED1F1F" w:rsidRDefault="00481CAA" w:rsidP="00ED1F1F">
      <w:pPr>
        <w:pStyle w:val="western"/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225090">
        <w:rPr>
          <w:rFonts w:ascii="Acumin Pro" w:hAnsi="Acumin Pro"/>
          <w:b/>
          <w:sz w:val="20"/>
          <w:szCs w:val="20"/>
        </w:rPr>
        <w:t>Zamawiający nie korzysta z Platformy Elektronicznego Fakturowania.</w:t>
      </w:r>
    </w:p>
    <w:p w:rsidR="0083710A" w:rsidRDefault="0083710A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0B177F">
        <w:rPr>
          <w:rFonts w:ascii="Acumin Pro" w:hAnsi="Acumin Pro"/>
          <w:sz w:val="20"/>
          <w:szCs w:val="20"/>
        </w:rPr>
        <w:t>Zgodnie ze wzorem umowy, Zamawiający przewiduje kary umowne za nienależyte wykonywanie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usługi. Czy Zamawiający, po analizie poniższych argumentów Wykonawcy, zmodyfikuje wysokość kar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umownych? Wykonawca wnosi o zmianę o 50% wysokości kar, zastrzeżonych przez Zamawiającego.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Przewidziane przez Zamawiającego kary są niewspółmiernie wysokie do wartości zamówienia oraz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do czasu trwania umowy. Poziom kar umownych jest zbyt wygórowany w stosunku do wskazanych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nieprawidłowości stanowiących podstawę ich naliczenia. Wykorzystywanie przez Zamawiającego -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 xml:space="preserve">będącego silniejszą stroną stosunku prawnego powstającego w wyniku udzielenia zamówienia </w:t>
      </w:r>
      <w:r w:rsidR="008C78C9" w:rsidRPr="000B177F">
        <w:rPr>
          <w:rFonts w:ascii="Acumin Pro" w:hAnsi="Acumin Pro"/>
          <w:sz w:val="20"/>
          <w:szCs w:val="20"/>
        </w:rPr>
        <w:t>–</w:t>
      </w:r>
      <w:r w:rsidRPr="000B177F">
        <w:rPr>
          <w:rFonts w:ascii="Acumin Pro" w:hAnsi="Acumin Pro"/>
          <w:sz w:val="20"/>
          <w:szCs w:val="20"/>
        </w:rPr>
        <w:t xml:space="preserve"> jego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pozycji do zastrzegania na swoją rzecz kar umownych, których wysokość jest wygórowana jest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sprzeczne z zasadami współżycia społecznego, a tym samym winno być uznane za wykraczające poza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dopuszczalne zgodnie z art. 3531 Kodeksu cywilnego granice swobody umów. Uprzywilejowana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pozycja Zamawiającego oraz zasadniczo jednostronne określanie istotnych warunków przyszłej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umowy sprawia, że umowa o udzielenie zamówienia staje się niejako umową adhezyjną, podczas gdy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winna zmierzać do zabezpieczenia interesów obu stron, a kara umowna nie powinna prowadzić do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nieuzasadnionego wzbogacenia po stronie Zamawiającego, ponieważ jej celem jest dyscyplinowanie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stron do prawidłowego i terminowego wywiązywania się z przyjętych na siebie obowiązków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umownych. Dodatkowo, samą wysokość kar umownych należy uznać za nadmierną, a tym samym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również sprzeczną z zasadami współżycia społecznego. Postanowienia umowne dotyczące kar w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żaden sposób nie są związane z zabezpieczeniem interesu Zamawiającego i interesu publicznego</w:t>
      </w:r>
      <w:r w:rsidR="008C78C9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związanego z uzyskaniem jak najlepszego zamówienia. W konsekwencji Zamawiający działa z</w:t>
      </w:r>
      <w:r w:rsidR="000B177F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przekroczeniem swobody umów łamiąc zasady współżycia społecznego wykorzystując instytucję kary</w:t>
      </w:r>
      <w:r w:rsidR="000B177F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umownej niezgodnie z jej naturą i przeznaczeniem. Ponadto, Zamawiający wprowadzając takie</w:t>
      </w:r>
      <w:r w:rsidR="000B177F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postanowienia narusza zasady uczciwej konkurencji, równego traktowania wykonawców, ogranicza</w:t>
      </w:r>
      <w:r w:rsidR="000B177F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konkurencję oraz utrudnia dostęp do rynku przedsiębiorcom, co może faktycznie wpłynąć na brak</w:t>
      </w:r>
      <w:r w:rsidR="000B177F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ofert. Na uwagę zasługuje również fakt, że wykonawca potencjalne ryzyko związane z naliczeniem</w:t>
      </w:r>
      <w:r w:rsidR="000B177F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kar umownych wkalkuluje w cenę oferty, co spowoduje, że złożone oferty będą mniej konkurencyjne,</w:t>
      </w:r>
      <w:r w:rsidR="000B177F" w:rsidRPr="000B177F">
        <w:rPr>
          <w:rFonts w:ascii="Acumin Pro" w:hAnsi="Acumin Pro"/>
          <w:sz w:val="20"/>
          <w:szCs w:val="20"/>
        </w:rPr>
        <w:t xml:space="preserve"> </w:t>
      </w:r>
      <w:r w:rsidRPr="000B177F">
        <w:rPr>
          <w:rFonts w:ascii="Acumin Pro" w:hAnsi="Acumin Pro"/>
          <w:sz w:val="20"/>
          <w:szCs w:val="20"/>
        </w:rPr>
        <w:t>a Zamawiający poniesie większe koszty związane z udzieleniem zamówienia.</w:t>
      </w:r>
    </w:p>
    <w:p w:rsidR="002C101D" w:rsidRPr="002C101D" w:rsidRDefault="002C101D" w:rsidP="002C101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2C101D">
        <w:rPr>
          <w:rFonts w:ascii="Acumin Pro" w:hAnsi="Acumin Pro"/>
          <w:b/>
          <w:sz w:val="20"/>
          <w:szCs w:val="20"/>
        </w:rPr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0B177F" w:rsidRPr="002C101D" w:rsidRDefault="002C101D" w:rsidP="002C101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2C101D">
        <w:rPr>
          <w:rFonts w:ascii="Acumin Pro" w:hAnsi="Acumin Pro"/>
          <w:b/>
          <w:sz w:val="20"/>
          <w:szCs w:val="20"/>
        </w:rPr>
        <w:t>Zamawiający nie zmienia zapisów umowy w tym zakresie.</w:t>
      </w:r>
    </w:p>
    <w:p w:rsidR="00F46611" w:rsidRDefault="0083710A" w:rsidP="00684E42">
      <w:pPr>
        <w:pStyle w:val="western"/>
        <w:numPr>
          <w:ilvl w:val="0"/>
          <w:numId w:val="21"/>
        </w:numPr>
        <w:ind w:left="284" w:hanging="284"/>
        <w:jc w:val="both"/>
        <w:rPr>
          <w:rFonts w:ascii="Acumin Pro" w:hAnsi="Acumin Pro"/>
          <w:sz w:val="20"/>
          <w:szCs w:val="20"/>
        </w:rPr>
      </w:pPr>
      <w:r w:rsidRPr="00F46611">
        <w:rPr>
          <w:rFonts w:ascii="Acumin Pro" w:hAnsi="Acumin Pro"/>
          <w:sz w:val="20"/>
          <w:szCs w:val="20"/>
        </w:rPr>
        <w:lastRenderedPageBreak/>
        <w:t>Proszę o potwierdzenie, że Zamawiający wyraża zgodę, aby każda z firm wchodząca w skład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konsorcjum firm wystawiała Zamawiającemu osobną fakturę VAT.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Wykonawcy składają oferty jako konsorcjum firm. Zgodnie z art. 58 ust. 1 i art. 117 ust. 4 ustawy z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 xml:space="preserve">dnia 11 września 2019 r. Prawo zamówień publicznych (Dz.U. 2019 poz. 2019 z </w:t>
      </w:r>
      <w:proofErr w:type="spellStart"/>
      <w:r w:rsidRPr="00F46611">
        <w:rPr>
          <w:rFonts w:ascii="Acumin Pro" w:hAnsi="Acumin Pro"/>
          <w:sz w:val="20"/>
          <w:szCs w:val="20"/>
        </w:rPr>
        <w:t>późn</w:t>
      </w:r>
      <w:proofErr w:type="spellEnd"/>
      <w:r w:rsidRPr="00F46611">
        <w:rPr>
          <w:rFonts w:ascii="Acumin Pro" w:hAnsi="Acumin Pro"/>
          <w:sz w:val="20"/>
          <w:szCs w:val="20"/>
        </w:rPr>
        <w:t>. zm.) wykonawca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posiada pełną dowolność w kreowaniu składu konsorcjum oraz w podziale obowiązków pomiędzy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poszczególnymi członkami konsorcjum. W konsekwencji Zamawiający wybierając ofertę wykonawcy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będącego konsorcjum, nie ma możliwości wpływać na sposób podziału zakresu realizacji usługi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wewnątrz konsorcjum oraz na treść samej umowy konsorcjum. Zamawiający ma prawo jedynie do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wglądu do treści umowy konsorcjum w zakresie jego składu i podziału obowiązków pomiędzy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członków konsorcjum. W ramach realizacji umowy każda z firm wchodząca w skład konsorcjum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wykonuje odmienne czynności dające w sumie pełny zakres realizacji przedmiotu umowy. Każda z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firm wchodzących w skład konsorcjum za wykonane usługi zobowiązana jest mocą przepisów prawa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podatkowego do wystawienia faktury VAT na rzecz podmiotu, dla którego usługę wykonała – czyli w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tym przypadku dla Zamawiającego. Wystawianie faktur na lidera konsorcjum przez członków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konsorcjum może być uznane za nieprawidłowe z przyczyn podatkowych podczas kontroli przez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organy podatkowe. Zgodnie ze stanowiskiem doktryny podatkowej, o wspólnym przedsięwzięciu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należy mówić w każdym przypadku, gdy co najmniej dwa podmioty podejmują się współpracy w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realizacji określonego, i najczęściej w miarę precyzyjnie zdefiniowanego, celu gospodarczego.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Podmioty te zawierają więc umowę gospodarczą w celu realizacji wspólnego przedsięwzięcia, które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ze względu na potencjał finansowy, zakres przedmiotowy lub kompetencyjny przekracza możliwości</w:t>
      </w:r>
      <w:r w:rsidR="000B177F" w:rsidRPr="00F46611">
        <w:rPr>
          <w:rFonts w:ascii="Acumin Pro" w:hAnsi="Acumin Pro"/>
          <w:sz w:val="20"/>
          <w:szCs w:val="20"/>
        </w:rPr>
        <w:t xml:space="preserve"> </w:t>
      </w:r>
      <w:r w:rsidRPr="00F46611">
        <w:rPr>
          <w:rFonts w:ascii="Acumin Pro" w:hAnsi="Acumin Pro"/>
          <w:sz w:val="20"/>
          <w:szCs w:val="20"/>
        </w:rPr>
        <w:t>jednego tylko podmiotu – umowę konsorcjum.</w:t>
      </w:r>
    </w:p>
    <w:p w:rsidR="00F46611" w:rsidRDefault="0083710A" w:rsidP="00F46611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F46611">
        <w:rPr>
          <w:rFonts w:ascii="Acumin Pro" w:hAnsi="Acumin Pro"/>
          <w:sz w:val="20"/>
          <w:szCs w:val="20"/>
        </w:rPr>
        <w:t>Kluczowe jest jednak, że na płaszczyźnie podatku dochodowego od osób prawnych (CIT), wspólne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przedsięwzięcie czy konsorcjum nie posiada statusu podatnika. Oznacza to, że podatnikami podatku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dochodowego są poszczególni członkowie takiej grupy gospodarczej (czyli podmioty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współpracujące).</w:t>
      </w:r>
      <w:r w:rsidR="00F46611">
        <w:rPr>
          <w:rFonts w:ascii="Acumin Pro" w:hAnsi="Acumin Pro"/>
          <w:sz w:val="20"/>
          <w:szCs w:val="20"/>
        </w:rPr>
        <w:t xml:space="preserve"> </w:t>
      </w:r>
    </w:p>
    <w:p w:rsidR="00F46611" w:rsidRDefault="0083710A" w:rsidP="00F46611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Jednocześnie, jako podstawę do indywidualnego rozliczania należy wskazać art. 8, art. 19 a, art. 106b Ustawy z dnia 11 marca 2004 r. o podatku od towarów i usług Dz. U. z 2018 r. poz. 2174 ze zm.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Zgodnie z którymi, jeśli podatnik VAT (konsorcjant) świadczy usługę bezpośrednio na rzecz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zamawiającego, to jest zobligowany do rozliczenia VAT należnego od tego świadczenia i wystawienia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faktury na rzecz odbiorcy świadczenia czyli Zamawiającego.</w:t>
      </w:r>
      <w:r w:rsidR="00F46611">
        <w:rPr>
          <w:rFonts w:ascii="Acumin Pro" w:hAnsi="Acumin Pro"/>
          <w:sz w:val="20"/>
          <w:szCs w:val="20"/>
        </w:rPr>
        <w:t xml:space="preserve"> </w:t>
      </w:r>
    </w:p>
    <w:p w:rsidR="00526BA5" w:rsidRDefault="0083710A" w:rsidP="00526BA5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Mając na uwadze różnorodność czynności składających się na przedmiot zmówienia, często zdarza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się, że poszczególne usługi realizowane w ramach całego przedmiotu umowy opodatkowane są</w:t>
      </w:r>
      <w:r w:rsidR="00F46611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różnymi stawkami podatku VAT, dlatego też, aby zapewnić przejrzystość podatkową, uzasadnione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jest wystawianie faktur przez członków konsorcjum bezpośrednio Zamawiającemu jako faktycznemu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odbiorcy usługi. Powyższe wynika, z faktu, że członek konsorcjum świadczący usługę opodatkowaną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 innym wymiarze niż 23% lub zwolnioną z podatku z powodu rodzaju świadczonej usługi, jako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jedyny podmiot w ramach konsorcjum ma możliwość wystawienia faktury zgodnie z przysługującym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mu zwolnieniem z podatku lub innym niż 23 % podatkiem VAT. Każdy z pozostałych członków w tym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lider konsorcjum – świadczący usługi oprocentowane 23 % podatkiem VAT nie ma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możliwości, wystawienia faktur ze zwolnieniem podatkowym lub w innym wymiarze niż 23 %.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Wystawienie przez lidera konsorcjum faktury zbiorczej na Zamawiającego zawierającego m.in.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określenie wynagrodzenia za usługę np. zwolnioną z podatku, może</w:t>
      </w:r>
      <w:r w:rsidR="00526BA5">
        <w:rPr>
          <w:rFonts w:ascii="Acumin Pro" w:hAnsi="Acumin Pro"/>
          <w:sz w:val="20"/>
          <w:szCs w:val="20"/>
        </w:rPr>
        <w:t xml:space="preserve"> być kwestionowane przez organy </w:t>
      </w:r>
      <w:r w:rsidRPr="0083710A">
        <w:rPr>
          <w:rFonts w:ascii="Acumin Pro" w:hAnsi="Acumin Pro"/>
          <w:sz w:val="20"/>
          <w:szCs w:val="20"/>
        </w:rPr>
        <w:t>podatkowe i uznane za nieprawidłowe – bowiem lider jako konkretny płatnik podatku nie ma prawa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korzystać ze zwolnień od podatku w ramach swojej działalności.</w:t>
      </w:r>
      <w:r w:rsidR="00526BA5">
        <w:rPr>
          <w:rFonts w:ascii="Acumin Pro" w:hAnsi="Acumin Pro"/>
          <w:sz w:val="20"/>
          <w:szCs w:val="20"/>
        </w:rPr>
        <w:t xml:space="preserve"> </w:t>
      </w:r>
    </w:p>
    <w:p w:rsidR="00C0343D" w:rsidRDefault="0083710A" w:rsidP="00C0343D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Innymi słowy – każdy podmiot gospodarczy może świadczyć usługi i pobierać za nie wynagrodzenie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 ramach przedmiotu swojej działalności i posiadanych uprawnień. Niedopuszczalne jest pobieranie</w:t>
      </w:r>
      <w:r w:rsidR="00526BA5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wynagrodzenia, a tym bardziej wystawienia faktur za usługi, co do których dany podmiot nie posiada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odpowiednich licencji, pozwoleń czy też przywilejów podatkowych w postaci np. zwolnienia z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podatku lub obniżonej stawki podatku.</w:t>
      </w:r>
    </w:p>
    <w:p w:rsidR="00C0343D" w:rsidRDefault="0083710A" w:rsidP="00C0343D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Dyrektor Izby Skarbowej w Warszawie w dniu 8.07.2013 r. IPPP1/443-377/13-3/AS wydał opinię w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 xml:space="preserve">sprawie „rozliczenia konsorcjum - podział przychodów i kosztów”, w której napisano: </w:t>
      </w:r>
      <w:r w:rsidRPr="0083710A">
        <w:rPr>
          <w:rFonts w:ascii="Acumin Pro" w:hAnsi="Acumin Pro"/>
          <w:sz w:val="20"/>
          <w:szCs w:val="20"/>
        </w:rPr>
        <w:lastRenderedPageBreak/>
        <w:t>„Zawarcie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umowy o wspólne przedsięwzięcie gospodarcze - umowy konsorcjum - nie ma na celu powstania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nowego swoistego podmiotu gospodarczego, lecz stanowi porozumienie stron w zakresie realizacji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wspólnego celu gospodarczego. Odnośnie rozliczenia podatku VAT przez uczestników konsorcjum,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stwierdzić należy iż zgodnie z art. 15 ust. 1 ustawy, podatnikami są osoby prawne, jednostki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organizacyjne niemające osobowości prawnej oraz osoby fizyczne, wykonujące samodzielnie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działalność gospodarczą, o której mowa w ust. 2, bez względu na cel lub rezultat takiej działalności.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Oznacza to, że z punktu widzenia VAT każdy z członków konsorcjum jest odrębnym podatnikiem.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Podatnikiem nie jest i nie może być natomiast samo konsorcjum. Dlatego też podmioty działające w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ramach konsorcjum powinny do wzajemnych rozliczeń oraz do rozliczeń z podmiotem, na rzecz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którego konsorcjum świadczy usługę stosować ogólne zasady w zakresie wystawiania faktur VAT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dokumentujących wykonywane przez nich czynności.”</w:t>
      </w:r>
      <w:r w:rsidR="00C0343D">
        <w:rPr>
          <w:rFonts w:ascii="Acumin Pro" w:hAnsi="Acumin Pro"/>
          <w:sz w:val="20"/>
          <w:szCs w:val="20"/>
        </w:rPr>
        <w:t xml:space="preserve"> </w:t>
      </w:r>
    </w:p>
    <w:p w:rsidR="00416710" w:rsidRDefault="0083710A" w:rsidP="00416710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Zawarcie umowy konsorcjum nie prowadzi do powstania nowego bytu prawnego. W szczególności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konsorcjum nie posiada zdolności prawnej lub zdolności do czynności prawnych – w zdolność tą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wyposażone są natomiast podmioty tworzące konsorcjum (wyrok Sądu Apelacyjnego w Warszawie z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 xml:space="preserve">4 marca 2016 r., sygn. akt. VI </w:t>
      </w:r>
      <w:proofErr w:type="spellStart"/>
      <w:r w:rsidRPr="0083710A">
        <w:rPr>
          <w:rFonts w:ascii="Acumin Pro" w:hAnsi="Acumin Pro"/>
          <w:sz w:val="20"/>
          <w:szCs w:val="20"/>
        </w:rPr>
        <w:t>ACa</w:t>
      </w:r>
      <w:proofErr w:type="spellEnd"/>
      <w:r w:rsidRPr="0083710A">
        <w:rPr>
          <w:rFonts w:ascii="Acumin Pro" w:hAnsi="Acumin Pro"/>
          <w:sz w:val="20"/>
          <w:szCs w:val="20"/>
        </w:rPr>
        <w:t xml:space="preserve"> 83/16). Powyższe dotyczy również konsorcjum tworzonego w celu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zawarcia i realizacji umowy o zamówienie publiczne, zgodnie bowiem z wyrokiem Sądu Apelacyjnego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 xml:space="preserve">w Krakowie z 17 grudnia 2014 r., sygn. akt: I </w:t>
      </w:r>
      <w:proofErr w:type="spellStart"/>
      <w:r w:rsidRPr="0083710A">
        <w:rPr>
          <w:rFonts w:ascii="Acumin Pro" w:hAnsi="Acumin Pro"/>
          <w:sz w:val="20"/>
          <w:szCs w:val="20"/>
        </w:rPr>
        <w:t>ACa</w:t>
      </w:r>
      <w:proofErr w:type="spellEnd"/>
      <w:r w:rsidRPr="0083710A">
        <w:rPr>
          <w:rFonts w:ascii="Acumin Pro" w:hAnsi="Acumin Pro"/>
          <w:sz w:val="20"/>
          <w:szCs w:val="20"/>
        </w:rPr>
        <w:t xml:space="preserve"> 1308/14: Brzmienie przepisu art. 23 ust. 3 </w:t>
      </w:r>
      <w:proofErr w:type="spellStart"/>
      <w:r w:rsidRPr="0083710A">
        <w:rPr>
          <w:rFonts w:ascii="Acumin Pro" w:hAnsi="Acumin Pro"/>
          <w:sz w:val="20"/>
          <w:szCs w:val="20"/>
        </w:rPr>
        <w:t>Pzp</w:t>
      </w:r>
      <w:proofErr w:type="spellEnd"/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przesądza jednoznacznie, iż konsorcjum na gruncie tej ustawy nie posiada podmiotowości prawnej,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co oznacza, że nie jest odrębnym podmiotem (wykonawcą), a raczej „sumą pojedynczych</w:t>
      </w:r>
      <w:r w:rsidR="00C0343D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wykonawców”.</w:t>
      </w:r>
      <w:r w:rsidR="00416710">
        <w:rPr>
          <w:rFonts w:ascii="Acumin Pro" w:hAnsi="Acumin Pro"/>
          <w:sz w:val="20"/>
          <w:szCs w:val="20"/>
        </w:rPr>
        <w:t xml:space="preserve"> </w:t>
      </w:r>
    </w:p>
    <w:p w:rsidR="00416710" w:rsidRDefault="0083710A" w:rsidP="00416710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 xml:space="preserve">Zgodnie z wyrokiem Sądu Apelacyjnego w Szczecinie z 28 maja 2015 r., sygn. akt: I </w:t>
      </w:r>
      <w:proofErr w:type="spellStart"/>
      <w:r w:rsidRPr="0083710A">
        <w:rPr>
          <w:rFonts w:ascii="Acumin Pro" w:hAnsi="Acumin Pro"/>
          <w:sz w:val="20"/>
          <w:szCs w:val="20"/>
        </w:rPr>
        <w:t>ACa</w:t>
      </w:r>
      <w:proofErr w:type="spellEnd"/>
      <w:r w:rsidRPr="0083710A">
        <w:rPr>
          <w:rFonts w:ascii="Acumin Pro" w:hAnsi="Acumin Pro"/>
          <w:sz w:val="20"/>
          <w:szCs w:val="20"/>
        </w:rPr>
        <w:t xml:space="preserve"> 29/15: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Konsorcjum jest stosunkiem obligacyjnym kreowanym umową, w wyniku której powstaje stosunek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prawny konsorcjum, w którym każda z jego stron (konsorcjant) zobowiązuje się do określonego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uczestnictwa w konsorcjum i do oznaczonego działania na jego rzecz, a tym samym na rzecz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pozostałych konsorcjantów dla osiągnięcia celu, dla którego umowa została zawarta. Konsorcjanci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zobowiązują się do działań i świadczeń zmierzających do osiągnięcia wspólnego celu gospodarczego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przyjętego przez konsorcjum, zobowiązując się do wspólnego działania. „Wspólność” celu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gospodarczego jest podstawowym atrybutem konsorcjum. Umowa konsorcjum nie jest uregulowana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 xml:space="preserve">w </w:t>
      </w:r>
      <w:proofErr w:type="spellStart"/>
      <w:r w:rsidRPr="0083710A">
        <w:rPr>
          <w:rFonts w:ascii="Acumin Pro" w:hAnsi="Acumin Pro"/>
          <w:sz w:val="20"/>
          <w:szCs w:val="20"/>
        </w:rPr>
        <w:t>kc</w:t>
      </w:r>
      <w:proofErr w:type="spellEnd"/>
      <w:r w:rsidRPr="0083710A">
        <w:rPr>
          <w:rFonts w:ascii="Acumin Pro" w:hAnsi="Acumin Pro"/>
          <w:sz w:val="20"/>
          <w:szCs w:val="20"/>
        </w:rPr>
        <w:t>, jest zatem zaliczana do umów nienazwanych kreowanych treścią umowy w ramach swobody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 xml:space="preserve">kształtowania stosunku zobowiązaniowego przewidzianej w art. 3531 </w:t>
      </w:r>
      <w:proofErr w:type="spellStart"/>
      <w:r w:rsidRPr="0083710A">
        <w:rPr>
          <w:rFonts w:ascii="Acumin Pro" w:hAnsi="Acumin Pro"/>
          <w:sz w:val="20"/>
          <w:szCs w:val="20"/>
        </w:rPr>
        <w:t>kc</w:t>
      </w:r>
      <w:proofErr w:type="spellEnd"/>
      <w:r w:rsidRPr="0083710A">
        <w:rPr>
          <w:rFonts w:ascii="Acumin Pro" w:hAnsi="Acumin Pro"/>
          <w:sz w:val="20"/>
          <w:szCs w:val="20"/>
        </w:rPr>
        <w:t xml:space="preserve"> i traktowana jako umowa,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 xml:space="preserve">do której stosuje się odpowiednio przepisy art. 860–875 </w:t>
      </w:r>
      <w:proofErr w:type="spellStart"/>
      <w:r w:rsidRPr="0083710A">
        <w:rPr>
          <w:rFonts w:ascii="Acumin Pro" w:hAnsi="Acumin Pro"/>
          <w:sz w:val="20"/>
          <w:szCs w:val="20"/>
        </w:rPr>
        <w:t>kc</w:t>
      </w:r>
      <w:proofErr w:type="spellEnd"/>
      <w:r w:rsidRPr="0083710A">
        <w:rPr>
          <w:rFonts w:ascii="Acumin Pro" w:hAnsi="Acumin Pro"/>
          <w:sz w:val="20"/>
          <w:szCs w:val="20"/>
        </w:rPr>
        <w:t>.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Umowa konsorcjum winna wskazywać podmiot uprawniony do reprezentowania konsorcjum na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zewnątrz i podejmowania czynności w imieniu pozostałych jego członków (tzw. lider konsorcjum).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 xml:space="preserve">W myśl art. 445 ust. 1 </w:t>
      </w:r>
      <w:proofErr w:type="spellStart"/>
      <w:r w:rsidRPr="0083710A">
        <w:rPr>
          <w:rFonts w:ascii="Acumin Pro" w:hAnsi="Acumin Pro"/>
          <w:sz w:val="20"/>
          <w:szCs w:val="20"/>
        </w:rPr>
        <w:t>Pzp</w:t>
      </w:r>
      <w:proofErr w:type="spellEnd"/>
      <w:r w:rsidRPr="0083710A">
        <w:rPr>
          <w:rFonts w:ascii="Acumin Pro" w:hAnsi="Acumin Pro"/>
          <w:sz w:val="20"/>
          <w:szCs w:val="20"/>
        </w:rPr>
        <w:t>: Wykonawcy, o których mowa w art. 58 ust. 1, ponoszą solidarną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odpowiedzialność za wykonanie umowy i wniesienie zabezpieczenia należytego wykonania. Solidarna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odpowiedzialność podmiotów tworzących konsorcjum oznacza, że zamawiający może żądać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wykonania umowy o zamówienie publiczne od wszystkich członków konsorcjum, kliku spośród nich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lub każdego z osobna, zaspokojenie roszczenia zamawiającego przez jednego z konsorcjantów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zwalnia zaś pozostałych. Nie jest możliwe wyłączenie solidarnej odpowiedzialności konsorcjum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wykonawców względem zamawiającego w drodze umowy, natomiast wzajemny podział zadań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przyjęty w umowie konsorcjum wywołuje wyłącznie skutki wewnętrzne pomiędzy jego członkami.</w:t>
      </w:r>
      <w:r w:rsidR="00416710">
        <w:rPr>
          <w:rFonts w:ascii="Acumin Pro" w:hAnsi="Acumin Pro"/>
          <w:sz w:val="20"/>
          <w:szCs w:val="20"/>
        </w:rPr>
        <w:t xml:space="preserve"> </w:t>
      </w:r>
    </w:p>
    <w:p w:rsidR="0083710A" w:rsidRDefault="0083710A" w:rsidP="00416710">
      <w:pPr>
        <w:pStyle w:val="western"/>
        <w:ind w:left="284"/>
        <w:jc w:val="both"/>
        <w:rPr>
          <w:rFonts w:ascii="Acumin Pro" w:hAnsi="Acumin Pro"/>
          <w:sz w:val="20"/>
          <w:szCs w:val="20"/>
        </w:rPr>
      </w:pPr>
      <w:r w:rsidRPr="0083710A">
        <w:rPr>
          <w:rFonts w:ascii="Acumin Pro" w:hAnsi="Acumin Pro"/>
          <w:sz w:val="20"/>
          <w:szCs w:val="20"/>
        </w:rPr>
        <w:t>Z powyższego wynika, że istota umowy konsorcjum nie uzasadnia tego, by Zamawiający mógł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przyjmować faktury tylko od jednego pomiotu wchodzącego w skład konsorcjum. Zgodnie z zasadą –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Konsorcjum ponosi odpowiedzialność solidarną wobec Zamawiającego, a Zamawiający zobowiązany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jest do zapłaty wynagrodzenia za wykonaną usługę lub dostawę każdemu z członków konsorcjum wg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ustalonego w umowie wynagrodzenia. Jest zatem w pełni uzasadnione i konieczne ze względu na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przepisy prawa podatkowego, aby wynagrodzenie należne Wykonawcy, będącemu konsorcjum firm,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było płatne zgodnie z fakturami VAT, wystawionymi przez każdego z członków konsorcjum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realizujących usługę na kwoty, które w sumie stanowią wysokość miesięcznego wynagrodzenia za</w:t>
      </w:r>
      <w:r w:rsidR="00416710">
        <w:rPr>
          <w:rFonts w:ascii="Acumin Pro" w:hAnsi="Acumin Pro"/>
          <w:sz w:val="20"/>
          <w:szCs w:val="20"/>
        </w:rPr>
        <w:t xml:space="preserve"> </w:t>
      </w:r>
      <w:r w:rsidRPr="0083710A">
        <w:rPr>
          <w:rFonts w:ascii="Acumin Pro" w:hAnsi="Acumin Pro"/>
          <w:sz w:val="20"/>
          <w:szCs w:val="20"/>
        </w:rPr>
        <w:t>wykonanie przedmiotu umowy.</w:t>
      </w:r>
    </w:p>
    <w:p w:rsidR="00500D29" w:rsidRDefault="00500D29" w:rsidP="00714469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b/>
          <w:sz w:val="20"/>
          <w:szCs w:val="20"/>
        </w:rPr>
      </w:pPr>
    </w:p>
    <w:p w:rsidR="00714469" w:rsidRPr="00714469" w:rsidRDefault="00714469" w:rsidP="00714469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b/>
          <w:sz w:val="20"/>
          <w:szCs w:val="20"/>
        </w:rPr>
      </w:pPr>
      <w:r w:rsidRPr="00714469">
        <w:rPr>
          <w:rFonts w:ascii="Acumin Pro" w:hAnsi="Acumin Pro"/>
          <w:b/>
          <w:sz w:val="20"/>
          <w:szCs w:val="20"/>
        </w:rPr>
        <w:lastRenderedPageBreak/>
        <w:t>Odpowiedź</w:t>
      </w:r>
      <w:r w:rsidR="00E515A6">
        <w:rPr>
          <w:rFonts w:ascii="Acumin Pro" w:hAnsi="Acumin Pro"/>
          <w:b/>
          <w:sz w:val="20"/>
          <w:szCs w:val="20"/>
        </w:rPr>
        <w:t>:</w:t>
      </w:r>
    </w:p>
    <w:p w:rsidR="00714469" w:rsidRDefault="00714469" w:rsidP="00714469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b/>
          <w:sz w:val="20"/>
          <w:szCs w:val="20"/>
        </w:rPr>
      </w:pPr>
      <w:r w:rsidRPr="00714469">
        <w:rPr>
          <w:rFonts w:ascii="Acumin Pro" w:hAnsi="Acumin Pro"/>
          <w:b/>
          <w:sz w:val="20"/>
          <w:szCs w:val="20"/>
        </w:rPr>
        <w:t>Zamawiający nie zmienia zapisów umowy w tym zakresie.</w:t>
      </w:r>
    </w:p>
    <w:p w:rsidR="00714469" w:rsidRDefault="00714469" w:rsidP="00714469">
      <w:pPr>
        <w:pStyle w:val="western"/>
        <w:spacing w:before="0" w:beforeAutospacing="0" w:after="0" w:afterAutospacing="0"/>
        <w:ind w:left="284"/>
        <w:jc w:val="both"/>
        <w:rPr>
          <w:rFonts w:ascii="Acumin Pro" w:hAnsi="Acumin Pro"/>
          <w:b/>
          <w:sz w:val="20"/>
          <w:szCs w:val="20"/>
        </w:rPr>
      </w:pPr>
    </w:p>
    <w:p w:rsidR="00714469" w:rsidRPr="00CA091A" w:rsidRDefault="004C319C" w:rsidP="00684E42">
      <w:pPr>
        <w:pStyle w:val="western"/>
        <w:numPr>
          <w:ilvl w:val="0"/>
          <w:numId w:val="21"/>
        </w:numPr>
        <w:spacing w:before="0" w:beforeAutospacing="0" w:after="0" w:afterAutospacing="0"/>
        <w:ind w:left="426" w:hanging="426"/>
        <w:jc w:val="both"/>
        <w:rPr>
          <w:rFonts w:ascii="Acumin Pro" w:hAnsi="Acumin Pro"/>
          <w:sz w:val="20"/>
          <w:szCs w:val="20"/>
        </w:rPr>
      </w:pPr>
      <w:r w:rsidRPr="00CA091A">
        <w:rPr>
          <w:rFonts w:ascii="Acumin Pro" w:hAnsi="Acumin Pro"/>
          <w:sz w:val="20"/>
          <w:szCs w:val="20"/>
        </w:rPr>
        <w:t>Strona 2 punkt III. Ust. 1 opis części 1 – Zamawiający podaje trzy lokalizacje, jednocześnie wskazując, że zakres przedmiotu zamówienia jest tylko dla dwóch pierwszych części. Idąc dalej rzeczywiście do SWZ załączony jest tylko opis na budynek a) i b) w części 1 zamówienia. W OPZ te budynki wskazane są jak druga część.</w:t>
      </w:r>
    </w:p>
    <w:p w:rsidR="004C319C" w:rsidRPr="00CA091A" w:rsidRDefault="004C319C" w:rsidP="00CA091A">
      <w:pPr>
        <w:pStyle w:val="western"/>
        <w:spacing w:before="0" w:beforeAutospacing="0" w:after="0" w:afterAutospacing="0"/>
        <w:ind w:left="426"/>
        <w:jc w:val="both"/>
        <w:rPr>
          <w:rFonts w:ascii="Acumin Pro" w:hAnsi="Acumin Pro"/>
          <w:sz w:val="20"/>
          <w:szCs w:val="20"/>
        </w:rPr>
      </w:pPr>
      <w:r w:rsidRPr="00CA091A">
        <w:rPr>
          <w:rFonts w:ascii="Acumin Pro" w:hAnsi="Acumin Pro"/>
          <w:sz w:val="20"/>
          <w:szCs w:val="20"/>
        </w:rPr>
        <w:t>Strona 3 ust. 6 również podane są tylko dwa budynki na część 1.</w:t>
      </w:r>
    </w:p>
    <w:p w:rsidR="004C319C" w:rsidRPr="00CA091A" w:rsidRDefault="004C319C" w:rsidP="00CA091A">
      <w:pPr>
        <w:pStyle w:val="western"/>
        <w:spacing w:before="0" w:beforeAutospacing="0" w:after="0" w:afterAutospacing="0"/>
        <w:ind w:left="426"/>
        <w:jc w:val="both"/>
        <w:rPr>
          <w:rFonts w:ascii="Acumin Pro" w:hAnsi="Acumin Pro"/>
          <w:sz w:val="20"/>
          <w:szCs w:val="20"/>
        </w:rPr>
      </w:pPr>
      <w:r w:rsidRPr="00CA091A">
        <w:rPr>
          <w:rFonts w:ascii="Acumin Pro" w:hAnsi="Acumin Pro"/>
          <w:sz w:val="20"/>
          <w:szCs w:val="20"/>
        </w:rPr>
        <w:t>Ile budynków jest w</w:t>
      </w:r>
      <w:r w:rsidR="00CA091A" w:rsidRPr="00CA091A">
        <w:rPr>
          <w:rFonts w:ascii="Acumin Pro" w:hAnsi="Acumin Pro"/>
          <w:sz w:val="20"/>
          <w:szCs w:val="20"/>
        </w:rPr>
        <w:t xml:space="preserve"> </w:t>
      </w:r>
      <w:r w:rsidRPr="00CA091A">
        <w:rPr>
          <w:rFonts w:ascii="Acumin Pro" w:hAnsi="Acumin Pro"/>
          <w:sz w:val="20"/>
          <w:szCs w:val="20"/>
        </w:rPr>
        <w:t>części 1 zamówienia?</w:t>
      </w:r>
    </w:p>
    <w:p w:rsidR="00684E42" w:rsidRDefault="00684E42" w:rsidP="00CA091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CA091A" w:rsidRDefault="00CA091A" w:rsidP="00CA091A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Odpowiedź:</w:t>
      </w:r>
    </w:p>
    <w:p w:rsidR="00CA091A" w:rsidRPr="00CA091A" w:rsidRDefault="00CA091A" w:rsidP="0081417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CA091A">
        <w:rPr>
          <w:rFonts w:ascii="Acumin Pro" w:hAnsi="Acumin Pro"/>
          <w:b/>
          <w:sz w:val="20"/>
          <w:szCs w:val="20"/>
        </w:rPr>
        <w:t xml:space="preserve">Muzeum Sztuk Użytkowych jako całość składa się z trzech budynków, są one połączone, mają jedną przestrzeń ekspozycyjną, wspólną komunikacje. </w:t>
      </w:r>
    </w:p>
    <w:p w:rsidR="00CA091A" w:rsidRDefault="00CA091A" w:rsidP="0081417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CA091A">
        <w:rPr>
          <w:rFonts w:ascii="Acumin Pro" w:hAnsi="Acumin Pro"/>
          <w:b/>
          <w:sz w:val="20"/>
          <w:szCs w:val="20"/>
        </w:rPr>
        <w:t>W ostatnich latach nastąpiła rozbudowa oddziału, dobudowano do istniejących budynków Zamek z Wieżą. Jest to teraz jedna zabudowa, z „historycznymi”  nazwami poszczególnych budynków. Określając zakresy prac chcieliśmy określić miejsce, gdzie się one będą odbywać, dlatego określono powierzchnie dla wykonania usług w poszczególnych lokalizacjach. Tak więc np. toaleta w Wieży jest w budynku Zamku z Wieżą.</w:t>
      </w:r>
    </w:p>
    <w:p w:rsidR="0081417D" w:rsidRDefault="0081417D" w:rsidP="0081417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1B2A12" w:rsidRPr="00CA091A" w:rsidRDefault="001B2A12" w:rsidP="0081417D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</w:p>
    <w:p w:rsidR="00CA091A" w:rsidRPr="00C869BF" w:rsidRDefault="00C870A3" w:rsidP="00684E42">
      <w:pPr>
        <w:pStyle w:val="western"/>
        <w:numPr>
          <w:ilvl w:val="0"/>
          <w:numId w:val="21"/>
        </w:numPr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Zamawiający wskazuje w SWZ strona 4, że umowa zawarta będzie na 12 miesięcy od dnia podpisania. W OPZ Zamawiający podaje okres 2 lat (24 miesięcy). Jaką wartość </w:t>
      </w:r>
      <w:r w:rsidR="00C869BF">
        <w:rPr>
          <w:rFonts w:ascii="Acumin Pro" w:hAnsi="Acumin Pro"/>
          <w:sz w:val="20"/>
          <w:szCs w:val="20"/>
        </w:rPr>
        <w:t xml:space="preserve">ma </w:t>
      </w:r>
      <w:r>
        <w:rPr>
          <w:rFonts w:ascii="Acumin Pro" w:hAnsi="Acumin Pro"/>
          <w:sz w:val="20"/>
          <w:szCs w:val="20"/>
        </w:rPr>
        <w:t>wziąć pod uwagę Oferent</w:t>
      </w:r>
      <w:r w:rsidR="00C869BF">
        <w:rPr>
          <w:rFonts w:ascii="Acumin Pro" w:hAnsi="Acumin Pro"/>
          <w:sz w:val="20"/>
          <w:szCs w:val="20"/>
        </w:rPr>
        <w:t>?</w:t>
      </w:r>
    </w:p>
    <w:p w:rsidR="00C869BF" w:rsidRDefault="00C869BF" w:rsidP="00C869BF">
      <w:pPr>
        <w:pStyle w:val="western"/>
        <w:spacing w:before="0" w:beforeAutospacing="0" w:after="0" w:afterAutospacing="0"/>
        <w:ind w:left="720"/>
        <w:jc w:val="both"/>
        <w:rPr>
          <w:rFonts w:ascii="Acumin Pro" w:hAnsi="Acumin Pro"/>
          <w:sz w:val="20"/>
          <w:szCs w:val="20"/>
        </w:rPr>
      </w:pPr>
    </w:p>
    <w:p w:rsidR="00C869BF" w:rsidRPr="00C869BF" w:rsidRDefault="00C869BF" w:rsidP="00A43E87">
      <w:pPr>
        <w:pStyle w:val="western"/>
        <w:spacing w:before="0" w:beforeAutospacing="0" w:after="0" w:afterAutospacing="0"/>
        <w:rPr>
          <w:rFonts w:ascii="Acumin Pro" w:hAnsi="Acumin Pro"/>
          <w:b/>
          <w:sz w:val="20"/>
          <w:szCs w:val="20"/>
        </w:rPr>
      </w:pPr>
      <w:r w:rsidRPr="00C869BF">
        <w:rPr>
          <w:rFonts w:ascii="Acumin Pro" w:hAnsi="Acumin Pro"/>
          <w:b/>
          <w:sz w:val="20"/>
          <w:szCs w:val="20"/>
        </w:rPr>
        <w:t>Odpowiedź:</w:t>
      </w:r>
    </w:p>
    <w:p w:rsidR="00A43E87" w:rsidRPr="00A43E87" w:rsidRDefault="00A43E87" w:rsidP="00A43E87">
      <w:pPr>
        <w:pStyle w:val="western"/>
        <w:spacing w:before="0" w:beforeAutospacing="0" w:after="0"/>
        <w:rPr>
          <w:rFonts w:ascii="Acumin Pro" w:hAnsi="Acumin Pro"/>
          <w:b/>
          <w:sz w:val="20"/>
          <w:szCs w:val="20"/>
        </w:rPr>
      </w:pPr>
      <w:r w:rsidRPr="00A43E87">
        <w:rPr>
          <w:rFonts w:ascii="Acumin Pro" w:hAnsi="Acumin Pro"/>
          <w:b/>
          <w:sz w:val="20"/>
          <w:szCs w:val="20"/>
        </w:rPr>
        <w:t>Umowa ma obowiązywać przez 12 miesięcy, należy zmniejszyć częstotliwość o połowę</w:t>
      </w:r>
    </w:p>
    <w:p w:rsidR="00C869BF" w:rsidRDefault="00A43E87" w:rsidP="00684E42">
      <w:pPr>
        <w:pStyle w:val="western"/>
        <w:numPr>
          <w:ilvl w:val="0"/>
          <w:numId w:val="21"/>
        </w:numPr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  <w:r w:rsidRPr="00A43E87">
        <w:rPr>
          <w:rFonts w:ascii="Acumin Pro" w:hAnsi="Acumin Pro"/>
          <w:sz w:val="20"/>
          <w:szCs w:val="20"/>
        </w:rPr>
        <w:t>W OPZ dla części 1 Zamawiający podaje częstotliwość wykonania praz 13 razy (średnio co 5 tygodni). Jak te założenie ma się do umowy na 12 miesięcy?</w:t>
      </w:r>
    </w:p>
    <w:p w:rsidR="00A43E87" w:rsidRDefault="00A43E87" w:rsidP="00A43E87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A43E87" w:rsidRPr="00A43E87" w:rsidRDefault="00A43E87" w:rsidP="00ED09F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A43E87">
        <w:rPr>
          <w:rFonts w:ascii="Acumin Pro" w:hAnsi="Acumin Pro"/>
          <w:b/>
          <w:sz w:val="20"/>
          <w:szCs w:val="20"/>
        </w:rPr>
        <w:t>Odpowiedź:</w:t>
      </w:r>
    </w:p>
    <w:p w:rsidR="00ED09F2" w:rsidRPr="00ED09F2" w:rsidRDefault="00ED09F2" w:rsidP="00ED09F2">
      <w:pPr>
        <w:pStyle w:val="western"/>
        <w:spacing w:before="0" w:beforeAutospacing="0" w:after="0"/>
        <w:jc w:val="both"/>
        <w:rPr>
          <w:rFonts w:ascii="Acumin Pro" w:hAnsi="Acumin Pro"/>
          <w:b/>
          <w:sz w:val="20"/>
          <w:szCs w:val="20"/>
        </w:rPr>
      </w:pPr>
      <w:r w:rsidRPr="00ED09F2">
        <w:rPr>
          <w:rFonts w:ascii="Acumin Pro" w:hAnsi="Acumin Pro"/>
          <w:b/>
          <w:sz w:val="20"/>
          <w:szCs w:val="20"/>
        </w:rPr>
        <w:t>Zamawiający podaje przeciętną ilość prac, średnio co 5 tygodni, może się zdarzyć, że w miesiącu do wykonania będą dwa sprzątania</w:t>
      </w:r>
    </w:p>
    <w:p w:rsidR="00ED09F2" w:rsidRPr="004B0429" w:rsidRDefault="000F0DCC" w:rsidP="00684E42">
      <w:pPr>
        <w:pStyle w:val="western"/>
        <w:numPr>
          <w:ilvl w:val="0"/>
          <w:numId w:val="21"/>
        </w:numPr>
        <w:spacing w:before="0" w:beforeAutospacing="0" w:after="0" w:afterAutospacing="0"/>
        <w:ind w:hanging="294"/>
        <w:jc w:val="both"/>
        <w:rPr>
          <w:rFonts w:ascii="Acumin Pro" w:hAnsi="Acumin Pro"/>
          <w:sz w:val="20"/>
          <w:szCs w:val="20"/>
        </w:rPr>
      </w:pPr>
      <w:r w:rsidRPr="004B0429">
        <w:rPr>
          <w:rFonts w:ascii="Acumin Pro" w:hAnsi="Acumin Pro"/>
          <w:sz w:val="20"/>
          <w:szCs w:val="20"/>
        </w:rPr>
        <w:t>W OPZ dla części 1 Zamawiający w tabeli na budynek przy ul. Marcinkowskiego 9 punkt 8 podaje, że jest ciągłe utrzymanie czystości w godzinach otwarcia muzeum 2 sztuki</w:t>
      </w:r>
      <w:r w:rsidR="004B0429" w:rsidRPr="004B0429">
        <w:rPr>
          <w:rFonts w:ascii="Acumin Pro" w:hAnsi="Acumin Pro"/>
          <w:sz w:val="20"/>
          <w:szCs w:val="20"/>
        </w:rPr>
        <w:t>, natomiast dalej w treści podaje tylko w poniedziałki i to jeszcze co czwarty.</w:t>
      </w:r>
    </w:p>
    <w:p w:rsidR="004B0429" w:rsidRDefault="004B0429" w:rsidP="004B0429">
      <w:pPr>
        <w:pStyle w:val="western"/>
        <w:spacing w:before="0" w:beforeAutospacing="0" w:after="0" w:afterAutospacing="0"/>
        <w:ind w:left="360"/>
        <w:jc w:val="both"/>
        <w:rPr>
          <w:rFonts w:ascii="Acumin Pro" w:hAnsi="Acumin Pro"/>
          <w:b/>
          <w:sz w:val="20"/>
          <w:szCs w:val="20"/>
        </w:rPr>
      </w:pPr>
    </w:p>
    <w:p w:rsidR="004B0429" w:rsidRDefault="004B0429" w:rsidP="0075580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Odpowiedź:</w:t>
      </w:r>
    </w:p>
    <w:p w:rsidR="00ED09F2" w:rsidRDefault="004B0429" w:rsidP="00755807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C</w:t>
      </w:r>
      <w:r w:rsidR="00ED09F2" w:rsidRPr="00ED09F2">
        <w:rPr>
          <w:rFonts w:ascii="Acumin Pro" w:hAnsi="Acumin Pro"/>
          <w:b/>
          <w:sz w:val="20"/>
          <w:szCs w:val="20"/>
        </w:rPr>
        <w:t xml:space="preserve">iągłe utrzymywanie czystości dotyczy dwóch toalet, damskiej w godzinach otwarcia muzeum, w dalszej części opisowej – pkt e dotyczy ekspozycji, sprzątanej w poniedziałki w określonych godzinach, są to dwa różne zadania. Opis </w:t>
      </w:r>
      <w:r>
        <w:rPr>
          <w:rFonts w:ascii="Acumin Pro" w:hAnsi="Acumin Pro"/>
          <w:b/>
          <w:sz w:val="20"/>
          <w:szCs w:val="20"/>
        </w:rPr>
        <w:t>pod tabelą dotyczy wszystkich w</w:t>
      </w:r>
      <w:r w:rsidR="00ED09F2" w:rsidRPr="00ED09F2">
        <w:rPr>
          <w:rFonts w:ascii="Acumin Pro" w:hAnsi="Acumin Pro"/>
          <w:b/>
          <w:sz w:val="20"/>
          <w:szCs w:val="20"/>
        </w:rPr>
        <w:t>w. punktów.</w:t>
      </w:r>
    </w:p>
    <w:p w:rsidR="00755807" w:rsidRPr="00ED09F2" w:rsidRDefault="00755807" w:rsidP="004B0429">
      <w:pPr>
        <w:pStyle w:val="western"/>
        <w:spacing w:before="0" w:beforeAutospacing="0" w:after="0" w:afterAutospacing="0"/>
        <w:ind w:left="360"/>
        <w:jc w:val="both"/>
        <w:rPr>
          <w:rFonts w:ascii="Acumin Pro" w:hAnsi="Acumin Pro"/>
          <w:b/>
          <w:sz w:val="20"/>
          <w:szCs w:val="20"/>
        </w:rPr>
      </w:pPr>
    </w:p>
    <w:p w:rsidR="004B0429" w:rsidRPr="00755807" w:rsidRDefault="004B0429" w:rsidP="00684E42">
      <w:pPr>
        <w:pStyle w:val="western"/>
        <w:numPr>
          <w:ilvl w:val="0"/>
          <w:numId w:val="21"/>
        </w:numPr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  <w:r w:rsidRPr="00755807">
        <w:rPr>
          <w:rFonts w:ascii="Acumin Pro" w:hAnsi="Acumin Pro"/>
          <w:sz w:val="20"/>
          <w:szCs w:val="20"/>
        </w:rPr>
        <w:t>OPZ dla budynku Muzeum Sztuki Użytkowej</w:t>
      </w:r>
    </w:p>
    <w:p w:rsidR="004B0429" w:rsidRPr="00755807" w:rsidRDefault="004B0429" w:rsidP="00755807">
      <w:pPr>
        <w:pStyle w:val="western"/>
        <w:spacing w:before="0" w:beforeAutospacing="0" w:after="0" w:afterAutospacing="0"/>
        <w:ind w:left="720"/>
        <w:jc w:val="both"/>
        <w:rPr>
          <w:rFonts w:ascii="Acumin Pro" w:hAnsi="Acumin Pro"/>
          <w:sz w:val="20"/>
          <w:szCs w:val="20"/>
        </w:rPr>
      </w:pPr>
      <w:r w:rsidRPr="00755807">
        <w:rPr>
          <w:rFonts w:ascii="Acumin Pro" w:hAnsi="Acumin Pro"/>
          <w:sz w:val="20"/>
          <w:szCs w:val="20"/>
        </w:rPr>
        <w:t xml:space="preserve">Tutaj również Zamawiający podaje w tabeli, że potencjalny Wykonawca ma ciągłe utrzymanie czystości w czasie otwarcia Muzeum 1 sztuka. Dalej Zamawiający podaje, że </w:t>
      </w:r>
      <w:r w:rsidR="000C39E8" w:rsidRPr="00755807">
        <w:rPr>
          <w:rFonts w:ascii="Acumin Pro" w:hAnsi="Acumin Pro"/>
          <w:sz w:val="20"/>
          <w:szCs w:val="20"/>
        </w:rPr>
        <w:t>sprzątanie tylko w poniedziałki. Proszę o doprecyzowanie.</w:t>
      </w:r>
    </w:p>
    <w:p w:rsidR="000C39E8" w:rsidRPr="00755807" w:rsidRDefault="000C39E8" w:rsidP="00755807">
      <w:pPr>
        <w:pStyle w:val="western"/>
        <w:spacing w:before="0" w:beforeAutospacing="0" w:after="0" w:afterAutospacing="0"/>
        <w:ind w:left="720"/>
        <w:jc w:val="both"/>
        <w:rPr>
          <w:rFonts w:ascii="Acumin Pro" w:hAnsi="Acumin Pro"/>
          <w:sz w:val="20"/>
          <w:szCs w:val="20"/>
        </w:rPr>
      </w:pPr>
      <w:r w:rsidRPr="00755807">
        <w:rPr>
          <w:rFonts w:ascii="Acumin Pro" w:hAnsi="Acumin Pro"/>
          <w:sz w:val="20"/>
          <w:szCs w:val="20"/>
        </w:rPr>
        <w:t>Dodatkowo dla pytania numer 4 i 5 proszę o informację, czy budynki w poniedziałki są otwarte dla zwiedzających czy nie?</w:t>
      </w:r>
    </w:p>
    <w:p w:rsidR="000C39E8" w:rsidRPr="00755807" w:rsidRDefault="000C39E8" w:rsidP="00755807">
      <w:pPr>
        <w:pStyle w:val="western"/>
        <w:spacing w:before="0" w:beforeAutospacing="0" w:after="0"/>
        <w:ind w:left="720"/>
        <w:jc w:val="both"/>
        <w:rPr>
          <w:rFonts w:ascii="Acumin Pro" w:hAnsi="Acumin Pro"/>
          <w:sz w:val="20"/>
          <w:szCs w:val="20"/>
        </w:rPr>
      </w:pPr>
      <w:r w:rsidRPr="00755807">
        <w:rPr>
          <w:rFonts w:ascii="Acumin Pro" w:hAnsi="Acumin Pro"/>
          <w:sz w:val="20"/>
          <w:szCs w:val="20"/>
        </w:rPr>
        <w:t>Czy sprzątanie ma się</w:t>
      </w:r>
      <w:r w:rsidR="00755807" w:rsidRPr="00755807">
        <w:rPr>
          <w:rFonts w:ascii="Acumin Pro" w:hAnsi="Acumin Pro"/>
          <w:sz w:val="20"/>
          <w:szCs w:val="20"/>
        </w:rPr>
        <w:t xml:space="preserve"> </w:t>
      </w:r>
      <w:r w:rsidRPr="00755807">
        <w:rPr>
          <w:rFonts w:ascii="Acumin Pro" w:hAnsi="Acumin Pro"/>
          <w:sz w:val="20"/>
          <w:szCs w:val="20"/>
        </w:rPr>
        <w:t>odbywać w każdy dzień roboczy, czy tylko na wezwanie Zamawiającego w momencie organizowanych imprez / wystaw?</w:t>
      </w:r>
    </w:p>
    <w:p w:rsidR="004B0429" w:rsidRDefault="00755807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b/>
          <w:sz w:val="20"/>
          <w:szCs w:val="20"/>
        </w:rPr>
        <w:t>Odpowiedź:</w:t>
      </w:r>
    </w:p>
    <w:p w:rsidR="00ED09F2" w:rsidRDefault="00ED09F2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b/>
          <w:sz w:val="20"/>
          <w:szCs w:val="20"/>
        </w:rPr>
      </w:pPr>
      <w:r w:rsidRPr="00ED09F2">
        <w:rPr>
          <w:rFonts w:ascii="Acumin Pro" w:hAnsi="Acumin Pro"/>
          <w:b/>
          <w:sz w:val="20"/>
          <w:szCs w:val="20"/>
        </w:rPr>
        <w:t xml:space="preserve">Toalety utrzymywane w czystości w godzinach otwarcia, opis dotyczy punktów powyżej w tabeli. Czyszczenie w poniedziałki dlatego, że oddziały muzeum są nieczynne w poniedziałki dla zwiedzających, można więc bez problemów wykonać wtedy usługę. W określonych sytuacjach (np. otwarcie wystawy) może być konieczne wykonanie usługi w </w:t>
      </w:r>
      <w:r w:rsidRPr="00ED09F2">
        <w:rPr>
          <w:rFonts w:ascii="Acumin Pro" w:hAnsi="Acumin Pro"/>
          <w:b/>
          <w:sz w:val="20"/>
          <w:szCs w:val="20"/>
        </w:rPr>
        <w:lastRenderedPageBreak/>
        <w:t>innym terminie niż poniedziałek i w innych godzinach, jednak zawsze będzie to uzgodnione z możliwościami wykonawcy.</w:t>
      </w:r>
    </w:p>
    <w:p w:rsidR="00E515A6" w:rsidRDefault="00E515A6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515A6" w:rsidRDefault="00E515A6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515A6" w:rsidRDefault="00E515A6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3826B8" w:rsidRDefault="003826B8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  <w:r w:rsidRPr="003826B8">
        <w:rPr>
          <w:rFonts w:ascii="Acumin Pro" w:hAnsi="Acumin Pro"/>
          <w:sz w:val="20"/>
          <w:szCs w:val="20"/>
        </w:rPr>
        <w:t>Ponadto to Zamawiający udostępnia aktualne załączniki opisujące przedmiot zamówienia w części I zamówienia.</w:t>
      </w: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Pr="00BC3CB7" w:rsidRDefault="00BC3CB7" w:rsidP="00BC3CB7">
      <w:pPr>
        <w:pStyle w:val="western"/>
        <w:spacing w:before="0" w:beforeAutospacing="0" w:after="0" w:afterAutospacing="0"/>
        <w:ind w:left="4320" w:firstLine="720"/>
        <w:jc w:val="both"/>
        <w:rPr>
          <w:rFonts w:ascii="Acumin Pro" w:hAnsi="Acumin Pro"/>
          <w:b/>
          <w:sz w:val="20"/>
          <w:szCs w:val="20"/>
        </w:rPr>
      </w:pPr>
      <w:r w:rsidRPr="00BC3CB7">
        <w:rPr>
          <w:rFonts w:ascii="Acumin Pro" w:hAnsi="Acumin Pro"/>
          <w:b/>
          <w:sz w:val="20"/>
          <w:szCs w:val="20"/>
        </w:rPr>
        <w:t>ZATWIERDZAM:</w:t>
      </w:r>
    </w:p>
    <w:p w:rsidR="00BC3CB7" w:rsidRDefault="00BC3CB7" w:rsidP="00BC3CB7">
      <w:pPr>
        <w:pStyle w:val="western"/>
        <w:spacing w:before="0" w:beforeAutospacing="0" w:after="0" w:afterAutospacing="0"/>
        <w:ind w:left="4320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    (-) Agnieszka </w:t>
      </w:r>
      <w:proofErr w:type="spellStart"/>
      <w:r>
        <w:rPr>
          <w:rFonts w:ascii="Acumin Pro" w:hAnsi="Acumin Pro"/>
          <w:sz w:val="20"/>
          <w:szCs w:val="20"/>
        </w:rPr>
        <w:t>Purgat</w:t>
      </w:r>
      <w:proofErr w:type="spellEnd"/>
    </w:p>
    <w:p w:rsidR="00BC3CB7" w:rsidRDefault="00BC3CB7" w:rsidP="00BC3CB7">
      <w:pPr>
        <w:pStyle w:val="western"/>
        <w:spacing w:before="0" w:beforeAutospacing="0" w:after="0" w:afterAutospacing="0"/>
        <w:ind w:left="3600" w:firstLine="720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Zastępca Dyrektora ds. Administracyjnych </w:t>
      </w: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</w:p>
    <w:p w:rsidR="00EB758A" w:rsidRDefault="00EB758A" w:rsidP="00C72FC2">
      <w:pPr>
        <w:pStyle w:val="western"/>
        <w:spacing w:before="0" w:beforeAutospacing="0" w:after="0" w:afterAutospacing="0"/>
        <w:jc w:val="both"/>
        <w:rPr>
          <w:rFonts w:ascii="Acumin Pro" w:hAnsi="Acumin Pro"/>
          <w:sz w:val="20"/>
          <w:szCs w:val="20"/>
        </w:rPr>
      </w:pPr>
      <w:bookmarkStart w:id="1" w:name="_GoBack"/>
      <w:bookmarkEnd w:id="1"/>
    </w:p>
    <w:sectPr w:rsidR="00EB758A" w:rsidSect="00893204">
      <w:footerReference w:type="default" r:id="rId8"/>
      <w:headerReference w:type="first" r:id="rId9"/>
      <w:footerReference w:type="first" r:id="rId10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89" w:rsidRDefault="00704E89">
      <w:r>
        <w:separator/>
      </w:r>
    </w:p>
  </w:endnote>
  <w:endnote w:type="continuationSeparator" w:id="0">
    <w:p w:rsidR="00704E89" w:rsidRDefault="0070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 Semi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33" w:rsidRPr="003A6470" w:rsidRDefault="00514881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  <w:r>
      <w:rPr>
        <w:rFonts w:ascii="Acumin Pro Semibold" w:hAnsi="Acumin Pro Semibold"/>
        <w:sz w:val="16"/>
        <w:szCs w:val="16"/>
      </w:rPr>
      <w:t xml:space="preserve">                  </w:t>
    </w:r>
    <w:r>
      <w:rPr>
        <w:rFonts w:ascii="Acumin Pro" w:hAnsi="Acumin Pro"/>
      </w:rPr>
      <w:t xml:space="preserve">            </w:t>
    </w:r>
    <w:r>
      <w:rPr>
        <w:rFonts w:ascii="Acumin Pro Semibold" w:eastAsia="Acumin Pro Semibold" w:hAnsi="Acumin Pro Semibold" w:cs="Acumin Pro Semibold"/>
        <w:sz w:val="16"/>
        <w:szCs w:val="16"/>
      </w:rPr>
      <w:tab/>
    </w:r>
    <w:r>
      <w:t xml:space="preserve">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0B4DD0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61312" behindDoc="0" locked="1" layoutInCell="1" allowOverlap="1" wp14:anchorId="19F6A534" wp14:editId="262C6CE5">
          <wp:simplePos x="0" y="0"/>
          <wp:positionH relativeFrom="column">
            <wp:posOffset>-864235</wp:posOffset>
          </wp:positionH>
          <wp:positionV relativeFrom="page">
            <wp:posOffset>9883140</wp:posOffset>
          </wp:positionV>
          <wp:extent cx="6193790" cy="357505"/>
          <wp:effectExtent l="0" t="0" r="0" b="4445"/>
          <wp:wrapNone/>
          <wp:docPr id="2" name="Obraz 2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89" w:rsidRDefault="00704E89">
      <w:r>
        <w:separator/>
      </w:r>
    </w:p>
  </w:footnote>
  <w:footnote w:type="continuationSeparator" w:id="0">
    <w:p w:rsidR="00704E89" w:rsidRDefault="0070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 wp14:anchorId="3F696D94" wp14:editId="4A9D91FE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93548"/>
    <w:multiLevelType w:val="hybridMultilevel"/>
    <w:tmpl w:val="8CDAF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07127"/>
    <w:multiLevelType w:val="multilevel"/>
    <w:tmpl w:val="554E14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3" w15:restartNumberingAfterBreak="0">
    <w:nsid w:val="10EE1D47"/>
    <w:multiLevelType w:val="multilevel"/>
    <w:tmpl w:val="8CDEA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E035C"/>
    <w:multiLevelType w:val="multilevel"/>
    <w:tmpl w:val="8CDEA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16C40"/>
    <w:multiLevelType w:val="hybridMultilevel"/>
    <w:tmpl w:val="7090AD88"/>
    <w:lvl w:ilvl="0" w:tplc="A7DC4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3F643D4"/>
    <w:multiLevelType w:val="hybridMultilevel"/>
    <w:tmpl w:val="CBE6C1BE"/>
    <w:lvl w:ilvl="0" w:tplc="36302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00388"/>
    <w:multiLevelType w:val="hybridMultilevel"/>
    <w:tmpl w:val="8474DE6E"/>
    <w:lvl w:ilvl="0" w:tplc="C3FAFCB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2CEA74E6">
      <w:start w:val="1"/>
      <w:numFmt w:val="decimal"/>
      <w:lvlText w:val="%2."/>
      <w:lvlJc w:val="left"/>
      <w:pPr>
        <w:ind w:left="1778" w:hanging="360"/>
      </w:pPr>
      <w:rPr>
        <w:b w:val="0"/>
        <w:color w:val="auto"/>
      </w:rPr>
    </w:lvl>
    <w:lvl w:ilvl="2" w:tplc="093CA9B8">
      <w:start w:val="1"/>
      <w:numFmt w:val="lowerLetter"/>
      <w:lvlText w:val="%3)"/>
      <w:lvlJc w:val="left"/>
      <w:pPr>
        <w:ind w:left="1800" w:hanging="180"/>
      </w:pPr>
      <w:rPr>
        <w:rFonts w:ascii="Acumin Pro" w:eastAsia="Arial Unicode MS" w:hAnsi="Acumin Pro" w:cs="Times New Roman"/>
      </w:rPr>
    </w:lvl>
    <w:lvl w:ilvl="3" w:tplc="63D68E1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547ED2A4">
      <w:start w:val="18"/>
      <w:numFmt w:val="upperRoman"/>
      <w:lvlText w:val="%5&gt;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887DB1"/>
    <w:multiLevelType w:val="hybridMultilevel"/>
    <w:tmpl w:val="BB7AEA94"/>
    <w:lvl w:ilvl="0" w:tplc="F14C7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B0A3C"/>
    <w:multiLevelType w:val="hybridMultilevel"/>
    <w:tmpl w:val="E5929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73961"/>
    <w:multiLevelType w:val="hybridMultilevel"/>
    <w:tmpl w:val="21C27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90158"/>
    <w:multiLevelType w:val="hybridMultilevel"/>
    <w:tmpl w:val="A7340280"/>
    <w:lvl w:ilvl="0" w:tplc="17404948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AE9AE636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EAEB904">
      <w:start w:val="1"/>
      <w:numFmt w:val="decimal"/>
      <w:lvlText w:val="%4."/>
      <w:lvlJc w:val="left"/>
      <w:pPr>
        <w:ind w:left="360" w:hanging="360"/>
      </w:pPr>
      <w:rPr>
        <w:b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473CD"/>
    <w:multiLevelType w:val="hybridMultilevel"/>
    <w:tmpl w:val="8FD8BCD6"/>
    <w:lvl w:ilvl="0" w:tplc="C3FAFCB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778" w:hanging="360"/>
      </w:pPr>
      <w:rPr>
        <w:b w:val="0"/>
        <w:color w:val="auto"/>
      </w:rPr>
    </w:lvl>
    <w:lvl w:ilvl="2" w:tplc="093CA9B8">
      <w:start w:val="1"/>
      <w:numFmt w:val="lowerLetter"/>
      <w:lvlText w:val="%3)"/>
      <w:lvlJc w:val="left"/>
      <w:pPr>
        <w:ind w:left="1800" w:hanging="180"/>
      </w:pPr>
      <w:rPr>
        <w:rFonts w:ascii="Acumin Pro" w:eastAsia="Arial Unicode MS" w:hAnsi="Acumin Pro" w:cs="Times New Roman"/>
      </w:rPr>
    </w:lvl>
    <w:lvl w:ilvl="3" w:tplc="63D68E1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547ED2A4">
      <w:start w:val="18"/>
      <w:numFmt w:val="upperRoman"/>
      <w:lvlText w:val="%5&gt;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3A4996"/>
    <w:multiLevelType w:val="multilevel"/>
    <w:tmpl w:val="8CDEA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511562"/>
    <w:multiLevelType w:val="hybridMultilevel"/>
    <w:tmpl w:val="F15CF4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953D72"/>
    <w:multiLevelType w:val="multilevel"/>
    <w:tmpl w:val="DADA5824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4706B60"/>
    <w:multiLevelType w:val="hybridMultilevel"/>
    <w:tmpl w:val="C3540792"/>
    <w:lvl w:ilvl="0" w:tplc="BAB8A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3695B"/>
    <w:multiLevelType w:val="multilevel"/>
    <w:tmpl w:val="8CDEA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D55F09"/>
    <w:multiLevelType w:val="hybridMultilevel"/>
    <w:tmpl w:val="6E9A6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318C9"/>
    <w:multiLevelType w:val="hybridMultilevel"/>
    <w:tmpl w:val="0BA064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D66DB"/>
    <w:multiLevelType w:val="multilevel"/>
    <w:tmpl w:val="4FFC0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D7833CA"/>
    <w:multiLevelType w:val="hybridMultilevel"/>
    <w:tmpl w:val="EDFA10D6"/>
    <w:lvl w:ilvl="0" w:tplc="D1C4DD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3"/>
  </w:num>
  <w:num w:numId="5">
    <w:abstractNumId w:val="4"/>
  </w:num>
  <w:num w:numId="6">
    <w:abstractNumId w:val="3"/>
  </w:num>
  <w:num w:numId="7">
    <w:abstractNumId w:val="17"/>
  </w:num>
  <w:num w:numId="8">
    <w:abstractNumId w:val="7"/>
  </w:num>
  <w:num w:numId="9">
    <w:abstractNumId w:val="11"/>
  </w:num>
  <w:num w:numId="10">
    <w:abstractNumId w:val="12"/>
  </w:num>
  <w:num w:numId="11">
    <w:abstractNumId w:val="15"/>
  </w:num>
  <w:num w:numId="12">
    <w:abstractNumId w:val="20"/>
  </w:num>
  <w:num w:numId="13">
    <w:abstractNumId w:val="2"/>
  </w:num>
  <w:num w:numId="14">
    <w:abstractNumId w:val="5"/>
  </w:num>
  <w:num w:numId="15">
    <w:abstractNumId w:val="9"/>
  </w:num>
  <w:num w:numId="16">
    <w:abstractNumId w:val="1"/>
  </w:num>
  <w:num w:numId="17">
    <w:abstractNumId w:val="8"/>
  </w:num>
  <w:num w:numId="18">
    <w:abstractNumId w:val="6"/>
  </w:num>
  <w:num w:numId="19">
    <w:abstractNumId w:val="10"/>
  </w:num>
  <w:num w:numId="20">
    <w:abstractNumId w:val="18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06653"/>
    <w:rsid w:val="00006A92"/>
    <w:rsid w:val="0001450E"/>
    <w:rsid w:val="00016203"/>
    <w:rsid w:val="00025309"/>
    <w:rsid w:val="00034959"/>
    <w:rsid w:val="000529E4"/>
    <w:rsid w:val="0006658F"/>
    <w:rsid w:val="00077B93"/>
    <w:rsid w:val="00093C8F"/>
    <w:rsid w:val="000A5198"/>
    <w:rsid w:val="000B03BC"/>
    <w:rsid w:val="000B177F"/>
    <w:rsid w:val="000B4DA4"/>
    <w:rsid w:val="000B4DD0"/>
    <w:rsid w:val="000C39E8"/>
    <w:rsid w:val="000D1E72"/>
    <w:rsid w:val="000D5D9B"/>
    <w:rsid w:val="000E5089"/>
    <w:rsid w:val="000F0DCC"/>
    <w:rsid w:val="001023E6"/>
    <w:rsid w:val="00110660"/>
    <w:rsid w:val="001270DA"/>
    <w:rsid w:val="00154F2C"/>
    <w:rsid w:val="001704E2"/>
    <w:rsid w:val="00172407"/>
    <w:rsid w:val="00182767"/>
    <w:rsid w:val="001A4926"/>
    <w:rsid w:val="001B2A12"/>
    <w:rsid w:val="001C3207"/>
    <w:rsid w:val="001D45B0"/>
    <w:rsid w:val="001F0E25"/>
    <w:rsid w:val="001F3F04"/>
    <w:rsid w:val="0020284F"/>
    <w:rsid w:val="002107C0"/>
    <w:rsid w:val="00225090"/>
    <w:rsid w:val="00225446"/>
    <w:rsid w:val="00236960"/>
    <w:rsid w:val="00241034"/>
    <w:rsid w:val="00250893"/>
    <w:rsid w:val="002574D5"/>
    <w:rsid w:val="00270B9C"/>
    <w:rsid w:val="00291E43"/>
    <w:rsid w:val="002A6730"/>
    <w:rsid w:val="002C101D"/>
    <w:rsid w:val="002D7132"/>
    <w:rsid w:val="002E6083"/>
    <w:rsid w:val="002F6C21"/>
    <w:rsid w:val="0030350C"/>
    <w:rsid w:val="00306280"/>
    <w:rsid w:val="00321A8F"/>
    <w:rsid w:val="0032538C"/>
    <w:rsid w:val="00325C37"/>
    <w:rsid w:val="003260A8"/>
    <w:rsid w:val="00333594"/>
    <w:rsid w:val="00336C2B"/>
    <w:rsid w:val="00345679"/>
    <w:rsid w:val="00354309"/>
    <w:rsid w:val="00367317"/>
    <w:rsid w:val="003826B8"/>
    <w:rsid w:val="003840EB"/>
    <w:rsid w:val="003A0A4C"/>
    <w:rsid w:val="003A6470"/>
    <w:rsid w:val="003B3311"/>
    <w:rsid w:val="003E279F"/>
    <w:rsid w:val="003E6B09"/>
    <w:rsid w:val="003E76E2"/>
    <w:rsid w:val="004012C9"/>
    <w:rsid w:val="00403B2C"/>
    <w:rsid w:val="0040739C"/>
    <w:rsid w:val="00414E97"/>
    <w:rsid w:val="00416710"/>
    <w:rsid w:val="00420F3D"/>
    <w:rsid w:val="00426A9C"/>
    <w:rsid w:val="00433261"/>
    <w:rsid w:val="00435A22"/>
    <w:rsid w:val="00435CF9"/>
    <w:rsid w:val="00440259"/>
    <w:rsid w:val="0046098B"/>
    <w:rsid w:val="00467AC4"/>
    <w:rsid w:val="00472F5F"/>
    <w:rsid w:val="00481CAA"/>
    <w:rsid w:val="004928BF"/>
    <w:rsid w:val="004A6CDB"/>
    <w:rsid w:val="004B0429"/>
    <w:rsid w:val="004B1F28"/>
    <w:rsid w:val="004C319C"/>
    <w:rsid w:val="004C712A"/>
    <w:rsid w:val="004D165F"/>
    <w:rsid w:val="004E36FA"/>
    <w:rsid w:val="004E6430"/>
    <w:rsid w:val="004E7901"/>
    <w:rsid w:val="004F174B"/>
    <w:rsid w:val="004F75FC"/>
    <w:rsid w:val="00500D29"/>
    <w:rsid w:val="00507293"/>
    <w:rsid w:val="00514881"/>
    <w:rsid w:val="00515AFB"/>
    <w:rsid w:val="0052214B"/>
    <w:rsid w:val="00526BA5"/>
    <w:rsid w:val="0053641E"/>
    <w:rsid w:val="00545297"/>
    <w:rsid w:val="00562D90"/>
    <w:rsid w:val="0057622D"/>
    <w:rsid w:val="00581132"/>
    <w:rsid w:val="00590B44"/>
    <w:rsid w:val="005A018E"/>
    <w:rsid w:val="005B3EF9"/>
    <w:rsid w:val="005E0CDD"/>
    <w:rsid w:val="005E228A"/>
    <w:rsid w:val="005F50FF"/>
    <w:rsid w:val="005F5CF6"/>
    <w:rsid w:val="0061103C"/>
    <w:rsid w:val="00630629"/>
    <w:rsid w:val="00645856"/>
    <w:rsid w:val="0066575D"/>
    <w:rsid w:val="00667307"/>
    <w:rsid w:val="00673B1D"/>
    <w:rsid w:val="00676ED6"/>
    <w:rsid w:val="00677E30"/>
    <w:rsid w:val="00684E42"/>
    <w:rsid w:val="00695713"/>
    <w:rsid w:val="006958B7"/>
    <w:rsid w:val="006A5591"/>
    <w:rsid w:val="006D1838"/>
    <w:rsid w:val="006E0FFD"/>
    <w:rsid w:val="006E2F0C"/>
    <w:rsid w:val="006F5B1F"/>
    <w:rsid w:val="00700A4A"/>
    <w:rsid w:val="00704E89"/>
    <w:rsid w:val="00705BD2"/>
    <w:rsid w:val="00714469"/>
    <w:rsid w:val="00732263"/>
    <w:rsid w:val="00755807"/>
    <w:rsid w:val="00773250"/>
    <w:rsid w:val="00783CA6"/>
    <w:rsid w:val="00787CCA"/>
    <w:rsid w:val="0079683D"/>
    <w:rsid w:val="0079712E"/>
    <w:rsid w:val="007B5AC0"/>
    <w:rsid w:val="007C6A22"/>
    <w:rsid w:val="007C6A86"/>
    <w:rsid w:val="007C6C75"/>
    <w:rsid w:val="007C6CF2"/>
    <w:rsid w:val="007E23C5"/>
    <w:rsid w:val="007E246B"/>
    <w:rsid w:val="007F5AC4"/>
    <w:rsid w:val="00801F39"/>
    <w:rsid w:val="0081417D"/>
    <w:rsid w:val="00820F6B"/>
    <w:rsid w:val="00823331"/>
    <w:rsid w:val="0083710A"/>
    <w:rsid w:val="008425DB"/>
    <w:rsid w:val="0088387B"/>
    <w:rsid w:val="00884B3E"/>
    <w:rsid w:val="00885C3A"/>
    <w:rsid w:val="00887CF8"/>
    <w:rsid w:val="00893204"/>
    <w:rsid w:val="008A42B8"/>
    <w:rsid w:val="008A4D87"/>
    <w:rsid w:val="008C6AD9"/>
    <w:rsid w:val="008C78C9"/>
    <w:rsid w:val="008D27D7"/>
    <w:rsid w:val="008D75F8"/>
    <w:rsid w:val="008E6F76"/>
    <w:rsid w:val="008E7FC0"/>
    <w:rsid w:val="008F2C2C"/>
    <w:rsid w:val="008F6568"/>
    <w:rsid w:val="00902420"/>
    <w:rsid w:val="00911FCE"/>
    <w:rsid w:val="00913774"/>
    <w:rsid w:val="00931AD1"/>
    <w:rsid w:val="009340A3"/>
    <w:rsid w:val="00967D1F"/>
    <w:rsid w:val="00993EB5"/>
    <w:rsid w:val="00995D37"/>
    <w:rsid w:val="009B255C"/>
    <w:rsid w:val="009C6530"/>
    <w:rsid w:val="009E0354"/>
    <w:rsid w:val="009E58F9"/>
    <w:rsid w:val="009F1809"/>
    <w:rsid w:val="00A029BC"/>
    <w:rsid w:val="00A0339B"/>
    <w:rsid w:val="00A039A4"/>
    <w:rsid w:val="00A100A2"/>
    <w:rsid w:val="00A2690E"/>
    <w:rsid w:val="00A2698E"/>
    <w:rsid w:val="00A43E87"/>
    <w:rsid w:val="00A67C40"/>
    <w:rsid w:val="00A707EB"/>
    <w:rsid w:val="00A8218C"/>
    <w:rsid w:val="00A86A3A"/>
    <w:rsid w:val="00A9317D"/>
    <w:rsid w:val="00A95748"/>
    <w:rsid w:val="00AA6858"/>
    <w:rsid w:val="00AB10C7"/>
    <w:rsid w:val="00AB19FA"/>
    <w:rsid w:val="00AC2B2A"/>
    <w:rsid w:val="00AD7A99"/>
    <w:rsid w:val="00B10D0B"/>
    <w:rsid w:val="00B24F28"/>
    <w:rsid w:val="00B26824"/>
    <w:rsid w:val="00B26BDE"/>
    <w:rsid w:val="00B3530D"/>
    <w:rsid w:val="00B44448"/>
    <w:rsid w:val="00B54C56"/>
    <w:rsid w:val="00B64EC9"/>
    <w:rsid w:val="00B72EB1"/>
    <w:rsid w:val="00B73F34"/>
    <w:rsid w:val="00B7412F"/>
    <w:rsid w:val="00B779BA"/>
    <w:rsid w:val="00B833B7"/>
    <w:rsid w:val="00B97175"/>
    <w:rsid w:val="00BA74AC"/>
    <w:rsid w:val="00BB2C73"/>
    <w:rsid w:val="00BB6C91"/>
    <w:rsid w:val="00BC3CB7"/>
    <w:rsid w:val="00BC4E23"/>
    <w:rsid w:val="00BD5E2C"/>
    <w:rsid w:val="00C0053F"/>
    <w:rsid w:val="00C0343D"/>
    <w:rsid w:val="00C10EF6"/>
    <w:rsid w:val="00C13AAD"/>
    <w:rsid w:val="00C1544F"/>
    <w:rsid w:val="00C16BF4"/>
    <w:rsid w:val="00C24790"/>
    <w:rsid w:val="00C24818"/>
    <w:rsid w:val="00C27265"/>
    <w:rsid w:val="00C30CAD"/>
    <w:rsid w:val="00C3640E"/>
    <w:rsid w:val="00C641C5"/>
    <w:rsid w:val="00C67E9C"/>
    <w:rsid w:val="00C72E33"/>
    <w:rsid w:val="00C72FC2"/>
    <w:rsid w:val="00C822CC"/>
    <w:rsid w:val="00C8652A"/>
    <w:rsid w:val="00C86575"/>
    <w:rsid w:val="00C869BF"/>
    <w:rsid w:val="00C870A3"/>
    <w:rsid w:val="00CA091A"/>
    <w:rsid w:val="00CB5CAC"/>
    <w:rsid w:val="00CC31C5"/>
    <w:rsid w:val="00CC4A7D"/>
    <w:rsid w:val="00CC5E4A"/>
    <w:rsid w:val="00CD6CE8"/>
    <w:rsid w:val="00CF1D99"/>
    <w:rsid w:val="00CF6669"/>
    <w:rsid w:val="00CF711D"/>
    <w:rsid w:val="00D03D86"/>
    <w:rsid w:val="00D20C7F"/>
    <w:rsid w:val="00D438DC"/>
    <w:rsid w:val="00D64F2C"/>
    <w:rsid w:val="00D67229"/>
    <w:rsid w:val="00D70035"/>
    <w:rsid w:val="00D8115A"/>
    <w:rsid w:val="00D81720"/>
    <w:rsid w:val="00D96B3E"/>
    <w:rsid w:val="00D96F87"/>
    <w:rsid w:val="00DA31E3"/>
    <w:rsid w:val="00DA6978"/>
    <w:rsid w:val="00DB0BB2"/>
    <w:rsid w:val="00DB676E"/>
    <w:rsid w:val="00DC138D"/>
    <w:rsid w:val="00DC2112"/>
    <w:rsid w:val="00DD3108"/>
    <w:rsid w:val="00DF4C4B"/>
    <w:rsid w:val="00DF57A3"/>
    <w:rsid w:val="00E1342A"/>
    <w:rsid w:val="00E259AF"/>
    <w:rsid w:val="00E40B5F"/>
    <w:rsid w:val="00E515A6"/>
    <w:rsid w:val="00E56E23"/>
    <w:rsid w:val="00E77CBD"/>
    <w:rsid w:val="00E86157"/>
    <w:rsid w:val="00EA66BF"/>
    <w:rsid w:val="00EB7471"/>
    <w:rsid w:val="00EB758A"/>
    <w:rsid w:val="00EC4420"/>
    <w:rsid w:val="00ED09F2"/>
    <w:rsid w:val="00ED1F1F"/>
    <w:rsid w:val="00EE2856"/>
    <w:rsid w:val="00EE2E50"/>
    <w:rsid w:val="00EE36B5"/>
    <w:rsid w:val="00F10993"/>
    <w:rsid w:val="00F13CD2"/>
    <w:rsid w:val="00F34243"/>
    <w:rsid w:val="00F36549"/>
    <w:rsid w:val="00F46611"/>
    <w:rsid w:val="00F575DB"/>
    <w:rsid w:val="00F62BF7"/>
    <w:rsid w:val="00F64FD8"/>
    <w:rsid w:val="00F706F9"/>
    <w:rsid w:val="00F721D8"/>
    <w:rsid w:val="00F8131D"/>
    <w:rsid w:val="00F84529"/>
    <w:rsid w:val="00F87EC9"/>
    <w:rsid w:val="00FA121B"/>
    <w:rsid w:val="00FB0130"/>
    <w:rsid w:val="00FD036D"/>
    <w:rsid w:val="00FF6AE3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CA34B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paragraph" w:customStyle="1" w:styleId="western">
    <w:name w:val="western"/>
    <w:basedOn w:val="Normalny"/>
    <w:rsid w:val="000B4D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B4DD0"/>
    <w:pPr>
      <w:ind w:left="720"/>
      <w:contextualSpacing/>
    </w:pPr>
    <w:rPr>
      <w:bdr w:val="none" w:sz="0" w:space="0" w:color="auto"/>
    </w:rPr>
  </w:style>
  <w:style w:type="character" w:customStyle="1" w:styleId="AkapitzlistZnak">
    <w:name w:val="Akapit z listą Znak"/>
    <w:aliases w:val="CW_Lista Znak"/>
    <w:link w:val="Akapitzlist"/>
    <w:uiPriority w:val="34"/>
    <w:rsid w:val="000B4DD0"/>
    <w:rPr>
      <w:sz w:val="24"/>
      <w:szCs w:val="24"/>
      <w:bdr w:val="none" w:sz="0" w:space="0" w:color="auto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D70035"/>
    <w:rPr>
      <w:b/>
      <w:bCs/>
    </w:rPr>
  </w:style>
  <w:style w:type="character" w:customStyle="1" w:styleId="Teksttreci">
    <w:name w:val="Tekst treści_"/>
    <w:basedOn w:val="Domylnaczcionkaakapitu"/>
    <w:link w:val="Teksttreci0"/>
    <w:rsid w:val="0066575D"/>
    <w:rPr>
      <w:rFonts w:ascii="Segoe UI" w:eastAsia="Segoe UI" w:hAnsi="Segoe UI" w:cs="Segoe U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6575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</w:pPr>
    <w:rPr>
      <w:rFonts w:ascii="Segoe UI" w:eastAsia="Segoe UI" w:hAnsi="Segoe UI" w:cs="Segoe UI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F2E5F-15C4-4529-B192-8582FFE9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3747</Words>
  <Characters>22485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Agnieszka</cp:lastModifiedBy>
  <cp:revision>10</cp:revision>
  <cp:lastPrinted>2022-01-26T16:48:00Z</cp:lastPrinted>
  <dcterms:created xsi:type="dcterms:W3CDTF">2022-03-14T12:47:00Z</dcterms:created>
  <dcterms:modified xsi:type="dcterms:W3CDTF">2022-03-15T13:06:00Z</dcterms:modified>
</cp:coreProperties>
</file>